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0"/>
      </w:pPr>
    </w:p>
    <w:p>
      <w:pPr>
        <w:spacing w:after="360"/>
        <w:jc w:val="center"/>
      </w:pPr>
      <w:r>
        <w:rPr>
          <w:rFonts w:ascii="Calibri" w:hAnsi="Calibri" w:eastAsia="Microsoft YaHei"/>
          <w:b/>
          <w:color w:val="B88A32"/>
          <w:sz w:val="20"/>
        </w:rPr>
        <w:t>LEGACY GROVE INITIATIVE</w:t>
      </w:r>
    </w:p>
    <w:p>
      <w:pPr>
        <w:spacing w:after="200"/>
        <w:jc w:val="center"/>
      </w:pPr>
      <w:r>
        <w:rPr>
          <w:rFonts w:ascii="Calibri" w:hAnsi="Calibri" w:eastAsia="Microsoft YaHei"/>
          <w:b/>
          <w:color w:val="31113F"/>
          <w:sz w:val="56"/>
        </w:rPr>
        <w:t>传记传世</w:t>
        <w:br/>
        <w:t>商业计划书</w:t>
      </w:r>
    </w:p>
    <w:p>
      <w:pPr>
        <w:spacing w:after="560"/>
        <w:jc w:val="center"/>
      </w:pPr>
      <w:r>
        <w:rPr>
          <w:rFonts w:ascii="Calibri" w:hAnsi="Calibri" w:eastAsia="Microsoft YaHei"/>
          <w:color w:val="665D68"/>
          <w:sz w:val="28"/>
        </w:rPr>
        <w:t>数字生命树计划：从长者生命叙事到可信家族传承基础设施</w:t>
      </w:r>
    </w:p>
    <w:p>
      <w:pPr>
        <w:spacing w:before="160" w:after="240" w:line="300" w:lineRule="auto"/>
        <w:ind w:left="259" w:right="259"/>
        <w:shd w:fill="EFE7F3"/>
      </w:pPr>
      <w:r>
        <w:rPr>
          <w:rFonts w:ascii="Calibri" w:hAnsi="Calibri" w:eastAsia="Microsoft YaHei"/>
          <w:b/>
          <w:color w:val="7543A3"/>
        </w:rPr>
        <w:t xml:space="preserve">核心定位  </w:t>
      </w:r>
      <w:r>
        <w:rPr>
          <w:rFonts w:ascii="Calibri" w:hAnsi="Calibri" w:eastAsia="Microsoft YaHei"/>
          <w:color w:val="17111F"/>
        </w:rPr>
        <w:t>以长期陪伴记录长者真实人生，以可信技术传承家庭记忆，并以生态方式安放思念。</w:t>
      </w:r>
    </w:p>
    <w:p>
      <w:pPr>
        <w:spacing w:after="880"/>
      </w:pPr>
    </w:p>
    <w:p>
      <w:pPr>
        <w:spacing w:line="348" w:lineRule="auto"/>
        <w:jc w:val="center"/>
      </w:pPr>
      <w:r>
        <w:rPr>
          <w:rFonts w:ascii="Calibri" w:hAnsi="Calibri" w:eastAsia="Microsoft YaHei"/>
          <w:color w:val="665D68"/>
          <w:sz w:val="21"/>
        </w:rPr>
        <w:t>适用对象：投资人、慈善基金、战略合作方、科创赛事评审与项目核心团队</w:t>
        <w:br/>
        <w:t>版本：2026年8月</w:t>
        <w:br/>
        <w:t>项目阶段：概念与试点筹备阶段</w:t>
      </w:r>
    </w:p>
    <w:p>
      <w:r>
        <w:br w:type="page"/>
      </w:r>
    </w:p>
    <w:p>
      <w:pPr>
        <w:pStyle w:val="Heading1"/>
      </w:pPr>
      <w:r>
        <w:t>阅读导航</w:t>
      </w:r>
    </w:p>
    <w:p>
      <w:pPr>
        <w:pStyle w:val="Lead"/>
      </w:pPr>
      <w:r>
        <w:rPr>
          <w:rFonts w:ascii="Calibri" w:hAnsi="Calibri" w:eastAsia="Microsoft YaHei"/>
        </w:rPr>
        <w:t>本文件围绕“为什么合作、合作做什么、如何落地、怎样治理”展开，可按议题直接进入相关章节。</w:t>
      </w:r>
    </w:p>
    <w:p>
      <w:pPr>
        <w:pStyle w:val="Heading2"/>
      </w:pPr>
      <w:r>
        <w:t>01  执行摘要</w:t>
      </w:r>
    </w:p>
    <w:p>
      <w:r>
        <w:rPr>
          <w:rFonts w:ascii="Calibri" w:hAnsi="Calibri" w:eastAsia="Microsoft YaHei"/>
        </w:rPr>
        <w:t>项目是什么、为什么现在做、先验证什么。</w:t>
      </w:r>
    </w:p>
    <w:p>
      <w:pPr>
        <w:pStyle w:val="Heading2"/>
      </w:pPr>
      <w:r>
        <w:t>02  产品与用户</w:t>
      </w:r>
    </w:p>
    <w:p>
      <w:r>
        <w:rPr>
          <w:rFonts w:ascii="Calibri" w:hAnsi="Calibri" w:eastAsia="Microsoft YaHei"/>
        </w:rPr>
        <w:t>四层产品、客户分层与关键使用场景。</w:t>
      </w:r>
    </w:p>
    <w:p>
      <w:pPr>
        <w:pStyle w:val="Heading2"/>
      </w:pPr>
      <w:r>
        <w:t>03  市场与竞争</w:t>
      </w:r>
    </w:p>
    <w:p>
      <w:r>
        <w:rPr>
          <w:rFonts w:ascii="Calibri" w:hAnsi="Calibri" w:eastAsia="Microsoft YaHei"/>
        </w:rPr>
        <w:t>与口述史、数字人、遗愿规划、自然纪念的差异。</w:t>
      </w:r>
    </w:p>
    <w:p>
      <w:pPr>
        <w:pStyle w:val="Heading2"/>
      </w:pPr>
      <w:r>
        <w:t>04  商业模式</w:t>
      </w:r>
    </w:p>
    <w:p>
      <w:r>
        <w:rPr>
          <w:rFonts w:ascii="Calibri" w:hAnsi="Calibri" w:eastAsia="Microsoft YaHei"/>
        </w:rPr>
        <w:t>收入结构、获客路径、交付能力与三年情景试算。</w:t>
      </w:r>
    </w:p>
    <w:p>
      <w:pPr>
        <w:pStyle w:val="Heading2"/>
      </w:pPr>
      <w:r>
        <w:t>05  技术与治理</w:t>
      </w:r>
    </w:p>
    <w:p>
      <w:r>
        <w:rPr>
          <w:rFonts w:ascii="Calibri" w:hAnsi="Calibri" w:eastAsia="Microsoft YaHei"/>
        </w:rPr>
        <w:t>可信记忆、授权、隐私、AI边界与长期迁移。</w:t>
      </w:r>
    </w:p>
    <w:p>
      <w:pPr>
        <w:pStyle w:val="Heading2"/>
      </w:pPr>
      <w:r>
        <w:t>06  团队与路线图</w:t>
      </w:r>
    </w:p>
    <w:p>
      <w:r>
        <w:rPr>
          <w:rFonts w:ascii="Calibri" w:hAnsi="Calibri" w:eastAsia="Microsoft YaHei"/>
        </w:rPr>
        <w:t>倡导人、创始合伙人、顾问席位及融资用途。</w:t>
      </w:r>
    </w:p>
    <w:p>
      <w:r>
        <w:br w:type="page"/>
      </w:r>
    </w:p>
    <w:p>
      <w:pPr>
        <w:pStyle w:val="Heading1"/>
      </w:pPr>
      <w:r>
        <w:t>一、执行摘要</w:t>
      </w:r>
    </w:p>
    <w:p>
      <w:pPr>
        <w:pStyle w:val="Lead"/>
      </w:pPr>
      <w:r>
        <w:rPr>
          <w:rFonts w:ascii="Calibri" w:hAnsi="Calibri" w:eastAsia="Microsoft YaHei"/>
        </w:rPr>
        <w:t>传记传世是一项面向长者、家庭与机构的生命叙事服务：通过长期陪伴访谈建立真实、可核验的生命档案，制作传记与影像；随后以有出处的记忆智能体和生态纪念入口，让家庭在未来仍能理解长辈真实说过的话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088"/>
        <w:gridCol w:w="7272"/>
      </w:tblGrid>
      <w:tr>
        <w:trPr>
          <w:tblHeader w:val="true"/>
        </w:trPr>
        <w:tc>
          <w:tcPr>
            <w:tcW w:type="dxa" w:w="208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要点</w:t>
            </w:r>
          </w:p>
        </w:tc>
        <w:tc>
          <w:tcPr>
            <w:tcW w:type="dxa" w:w="727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计划</w:t>
            </w:r>
          </w:p>
        </w:tc>
      </w:tr>
      <w:tr>
        <w:trPr/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首个产品</w:t>
            </w:r>
          </w:p>
        </w:tc>
        <w:tc>
          <w:tcPr>
            <w:tcW w:type="dxa" w:w="72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养老院、康养社区和家庭的4—8次生命访谈 + 简版传记 + 3—5分钟短片</w:t>
            </w:r>
          </w:p>
        </w:tc>
      </w:tr>
      <w:tr>
        <w:trPr/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首轮客户</w:t>
            </w:r>
          </w:p>
        </w:tc>
        <w:tc>
          <w:tcPr>
            <w:tcW w:type="dxa" w:w="72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养老机构、慈善基金、高净值家庭、私人银行、保险与家办</w:t>
            </w:r>
          </w:p>
        </w:tc>
      </w:tr>
      <w:tr>
        <w:trPr/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核心差异</w:t>
            </w:r>
          </w:p>
        </w:tc>
        <w:tc>
          <w:tcPr>
            <w:tcW w:type="dxa" w:w="72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陪伴先于内容；真实出处先于拟真数字人；价值观先于资产；自然先于硬件</w:t>
            </w:r>
          </w:p>
        </w:tc>
      </w:tr>
      <w:tr>
        <w:trPr/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试点目标</w:t>
            </w:r>
          </w:p>
        </w:tc>
        <w:tc>
          <w:tcPr>
            <w:tcW w:type="dxa" w:w="72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90天服务10—20位长者，验证参与、核验、家庭使用与机构续约意愿</w:t>
            </w:r>
          </w:p>
        </w:tc>
      </w:tr>
      <w:tr>
        <w:trPr/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长期愿景</w:t>
            </w:r>
          </w:p>
        </w:tc>
        <w:tc>
          <w:tcPr>
            <w:tcW w:type="dxa" w:w="72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成为可信的生命档案与家族叙事基础设施，并与合规生态纪念伙伴共建数字生命树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关键判断  </w:t>
      </w:r>
      <w:r>
        <w:rPr>
          <w:rFonts w:ascii="Calibri" w:hAnsi="Calibri" w:eastAsia="Microsoft YaHei"/>
          <w:color w:val="17111F"/>
        </w:rPr>
        <w:t>现阶段最重要的不是土地与硬件，而是服务能否稳定交付、资料能否长期托付、家庭是否愿意持续使用。</w:t>
      </w: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重要边界  </w:t>
      </w:r>
      <w:r>
        <w:rPr>
          <w:rFonts w:ascii="Calibri" w:hAnsi="Calibri" w:eastAsia="Microsoft YaHei"/>
          <w:color w:val="17111F"/>
        </w:rPr>
        <w:t>本材料为项目概念与合作讨论文件，不构成法律、医疗、投资、财富管理或安葬服务承诺。遗嘱、公证、信托、税务、资产管理与生态安葬应由具备相应资质的专业机构实施。</w:t>
      </w:r>
    </w:p>
    <w:p>
      <w:r>
        <w:br w:type="page"/>
      </w:r>
    </w:p>
    <w:p>
      <w:pPr>
        <w:pStyle w:val="Heading1"/>
      </w:pPr>
      <w:r>
        <w:t>二、问题与机会</w:t>
      </w:r>
    </w:p>
    <w:p>
      <w:pPr>
        <w:pStyle w:val="Heading2"/>
      </w:pPr>
      <w:r>
        <w:t>1. 家庭记忆不可逆地流失</w:t>
      </w:r>
    </w:p>
    <w:p>
      <w:r>
        <w:rPr>
          <w:rFonts w:ascii="Calibri" w:hAnsi="Calibri" w:eastAsia="Microsoft YaHei"/>
        </w:rPr>
        <w:t>长辈的声音、照片、选择理由和家庭传统往往分散在个人记忆和旧设备中。一旦提问机会消失，再多资产也无法还原完整的人生解释。</w:t>
      </w:r>
    </w:p>
    <w:p>
      <w:pPr>
        <w:pStyle w:val="Heading2"/>
      </w:pPr>
      <w:r>
        <w:t>2. 晚年精神关怀缺少可沉淀成果</w:t>
      </w:r>
    </w:p>
    <w:p>
      <w:r>
        <w:rPr>
          <w:rFonts w:ascii="Calibri" w:hAnsi="Calibri" w:eastAsia="Microsoft YaHei"/>
        </w:rPr>
        <w:t>许多养老活动能够带来短期参与，却难以形成家庭可保存、机构可复用、长者可审阅的长期成果。</w:t>
      </w:r>
    </w:p>
    <w:p>
      <w:pPr>
        <w:pStyle w:val="Heading2"/>
      </w:pPr>
      <w:r>
        <w:t>3. 数字人产品面临真实性与授权风险</w:t>
      </w:r>
    </w:p>
    <w:p>
      <w:r>
        <w:rPr>
          <w:rFonts w:ascii="Calibri" w:hAnsi="Calibri" w:eastAsia="Microsoft YaHei"/>
        </w:rPr>
        <w:t>若模型没有清晰出处、生成标识和权限机制，容易产生错误记忆、身份混淆与情感操纵。</w:t>
      </w:r>
    </w:p>
    <w:p>
      <w:pPr>
        <w:pStyle w:val="Heading2"/>
      </w:pPr>
      <w:r>
        <w:t>4. 高净值传承服务需要“资产以外”的内容</w:t>
      </w:r>
    </w:p>
    <w:p>
      <w:r>
        <w:rPr>
          <w:rFonts w:ascii="Calibri" w:hAnsi="Calibri" w:eastAsia="Microsoft YaHei"/>
        </w:rPr>
        <w:t>私人银行、保险、信托与家办能够提供专业的资产工具，但家庭仍需要记录长辈价值观、慈善意向和安排背后的原因。</w:t>
      </w:r>
    </w:p>
    <w:p>
      <w:pPr>
        <w:spacing w:before="160" w:after="240" w:line="300" w:lineRule="auto"/>
        <w:ind w:left="259" w:right="259"/>
        <w:shd w:fill="EFE7F3"/>
      </w:pPr>
      <w:r>
        <w:rPr>
          <w:rFonts w:ascii="Calibri" w:hAnsi="Calibri" w:eastAsia="Microsoft YaHei"/>
          <w:b/>
          <w:color w:val="7543A3"/>
        </w:rPr>
        <w:t xml:space="preserve">项目机会  </w:t>
      </w:r>
      <w:r>
        <w:rPr>
          <w:rFonts w:ascii="Calibri" w:hAnsi="Calibri" w:eastAsia="Microsoft YaHei"/>
          <w:color w:val="17111F"/>
        </w:rPr>
        <w:t>把口述史方法、专业内容制作、可追溯AI、家族价值传承和生态纪念连接成一条连续服务链。</w:t>
      </w:r>
    </w:p>
    <w:p>
      <w:r>
        <w:br w:type="page"/>
      </w:r>
    </w:p>
    <w:p>
      <w:pPr>
        <w:pStyle w:val="Heading1"/>
      </w:pPr>
      <w:r>
        <w:t>三、解决方案：四层产品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12"/>
        <w:gridCol w:w="3168"/>
        <w:gridCol w:w="2880"/>
        <w:gridCol w:w="1800"/>
      </w:tblGrid>
      <w:tr>
        <w:trPr>
          <w:tblHeader w:val="true"/>
        </w:trPr>
        <w:tc>
          <w:tcPr>
            <w:tcW w:type="dxa" w:w="151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产品层</w:t>
            </w:r>
          </w:p>
        </w:tc>
        <w:tc>
          <w:tcPr>
            <w:tcW w:type="dxa" w:w="316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核心功能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典型交付</w:t>
            </w:r>
          </w:p>
        </w:tc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成熟顺序</w:t>
            </w:r>
          </w:p>
        </w:tc>
      </w:tr>
      <w:tr>
        <w:trPr/>
        <w:tc>
          <w:tcPr>
            <w:tcW w:type="dxa" w:w="15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生命访谈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陪伴、主题访谈、转写、事实核对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人生时间轴、原声集、素材清单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第1阶段</w:t>
            </w:r>
          </w:p>
        </w:tc>
      </w:tr>
      <w:tr>
        <w:trPr/>
        <w:tc>
          <w:tcPr>
            <w:tcW w:type="dxa" w:w="15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私人作品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编辑、照片修复、影像制作、家属审阅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传记、短片、家风档案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第1阶段</w:t>
            </w:r>
          </w:p>
        </w:tc>
      </w:tr>
      <w:tr>
        <w:trPr/>
        <w:tc>
          <w:tcPr>
            <w:tcW w:type="dxa" w:w="15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数字传承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结构化档案、权限、检索、出处显示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家庭数字馆、记忆智能体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第2阶段</w:t>
            </w:r>
          </w:p>
        </w:tc>
      </w:tr>
      <w:tr>
        <w:trPr/>
        <w:tc>
          <w:tcPr>
            <w:tcW w:type="dxa" w:w="15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生态纪念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低功耗入口、纪念林、长期运维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数字生命树与纪念服务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第3阶段</w:t>
            </w:r>
          </w:p>
        </w:tc>
      </w:tr>
    </w:tbl>
    <w:p>
      <w:pPr>
        <w:spacing w:after="40"/>
      </w:pPr>
    </w:p>
    <w:p>
      <w:pPr>
        <w:pStyle w:val="Heading2"/>
      </w:pPr>
      <w:r>
        <w:t>产品设计原则</w:t>
      </w:r>
    </w:p>
    <w:p>
      <w:pPr>
        <w:pStyle w:val="ListBullet"/>
      </w:pPr>
      <w:r>
        <w:rPr>
          <w:rFonts w:ascii="Calibri" w:hAnsi="Calibri" w:eastAsia="Microsoft YaHei"/>
        </w:rPr>
        <w:t>以长者本人为第一用户，家属和机构为共同服务对象。</w:t>
      </w:r>
    </w:p>
    <w:p>
      <w:pPr>
        <w:pStyle w:val="ListBullet"/>
      </w:pPr>
      <w:r>
        <w:rPr>
          <w:rFonts w:ascii="Calibri" w:hAnsi="Calibri" w:eastAsia="Microsoft YaHei"/>
        </w:rPr>
        <w:t>不追求无限拟真；优先保障真实性、尊严、审阅和撤回。</w:t>
      </w:r>
    </w:p>
    <w:p>
      <w:pPr>
        <w:pStyle w:val="ListBullet"/>
      </w:pPr>
      <w:r>
        <w:rPr>
          <w:rFonts w:ascii="Calibri" w:hAnsi="Calibri" w:eastAsia="Microsoft YaHei"/>
        </w:rPr>
        <w:t>手机优先、硬件克制；树旁仅保留低干扰入口。</w:t>
      </w:r>
    </w:p>
    <w:p>
      <w:pPr>
        <w:pStyle w:val="ListBullet"/>
      </w:pPr>
      <w:r>
        <w:rPr>
          <w:rFonts w:ascii="Calibri" w:hAnsi="Calibri" w:eastAsia="Microsoft YaHei"/>
        </w:rPr>
        <w:t>允许家庭导出并迁移，不以技术锁定换取长期留存。</w:t>
      </w:r>
    </w:p>
    <w:p>
      <w:r>
        <w:br w:type="page"/>
      </w:r>
    </w:p>
    <w:p>
      <w:pPr>
        <w:pStyle w:val="Heading1"/>
      </w:pPr>
      <w:r>
        <w:t>四、用户与客户分层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84"/>
        <w:gridCol w:w="3168"/>
        <w:gridCol w:w="2880"/>
        <w:gridCol w:w="1728"/>
      </w:tblGrid>
      <w:tr>
        <w:trPr>
          <w:tblHeader w:val="true"/>
        </w:trPr>
        <w:tc>
          <w:tcPr>
            <w:tcW w:type="dxa" w:w="158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角色</w:t>
            </w:r>
          </w:p>
        </w:tc>
        <w:tc>
          <w:tcPr>
            <w:tcW w:type="dxa" w:w="316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核心需求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购买/参与动机</w:t>
            </w:r>
          </w:p>
        </w:tc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优先产品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长者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被倾听、留下真实人生、保持控制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尊严、意义与家庭连接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生命访谈、私人作品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家庭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保存记忆、理解安排、跨代沟通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情感价值与家族传承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传记、影像、数字馆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养老机构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差异化精神关怀与家属互动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服务升级、品牌与续住体验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年度访谈项目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私行/保险/家办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高净值养老与代际传承增值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客户黏性、差异化与价值观服务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定制传记、家风档案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慈善基金/CSR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支持普通长者与公共记忆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可衡量社会影响与故事资产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社区公益计划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生态纪念伙伴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新型纪念体验与长期内容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场景创新与客户服务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数字生命树</w:t>
            </w:r>
          </w:p>
        </w:tc>
      </w:tr>
    </w:tbl>
    <w:p>
      <w:pPr>
        <w:spacing w:after="40"/>
      </w:pPr>
    </w:p>
    <w:p>
      <w:pPr>
        <w:pStyle w:val="Heading2"/>
      </w:pPr>
      <w:r>
        <w:t>首个滩头市场</w:t>
      </w:r>
    </w:p>
    <w:p>
      <w:r>
        <w:rPr>
          <w:rFonts w:ascii="Calibri" w:hAnsi="Calibri" w:eastAsia="Microsoft YaHei"/>
        </w:rPr>
        <w:t>优先选择拥有稳定长者关系、家属触点和项目管理能力的养老院/康养社区，同时以慈善基金或企业CSR支持部分公益名额。高净值定制服务用于验证高标准交付和单位经济模型。</w:t>
      </w:r>
    </w:p>
    <w:p>
      <w:r>
        <w:br w:type="page"/>
      </w:r>
    </w:p>
    <w:p>
      <w:pPr>
        <w:pStyle w:val="Heading1"/>
      </w:pPr>
      <w:r>
        <w:t>五、全球参照与竞争定位</w:t>
      </w:r>
    </w:p>
    <w:p>
      <w:pPr>
        <w:pStyle w:val="Lead"/>
      </w:pPr>
      <w:r>
        <w:rPr>
          <w:rFonts w:ascii="Calibri" w:hAnsi="Calibri" w:eastAsia="Microsoft YaHei"/>
        </w:rPr>
        <w:t>美国已有成熟的口述史、交互影像、自然纪念、在线遗愿和家族传承服务，但未发现与本项目完全相同的一体化模式。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84"/>
        <w:gridCol w:w="2304"/>
        <w:gridCol w:w="3024"/>
        <w:gridCol w:w="2448"/>
      </w:tblGrid>
      <w:tr>
        <w:trPr>
          <w:tblHeader w:val="true"/>
        </w:trPr>
        <w:tc>
          <w:tcPr>
            <w:tcW w:type="dxa" w:w="158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参照方向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代表案例</w:t>
            </w:r>
          </w:p>
        </w:tc>
        <w:tc>
          <w:tcPr>
            <w:tcW w:type="dxa" w:w="302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可借鉴能力</w:t>
            </w:r>
          </w:p>
        </w:tc>
        <w:tc>
          <w:tcPr>
            <w:tcW w:type="dxa" w:w="244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本项目连接点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口述史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StoryCorps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标准化访谈、公共记忆、广泛参与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长期陪伴 + 家庭作品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交互影像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StoryFile Life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预录回答与交互提问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回答出处 + 权限 + AI标识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自然纪念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Better Place Forests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受保护森林和纪念树体验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低功耗数字入口 + 家族内容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遗愿规划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FreeWill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把复杂身后安排转化为数字流程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遗愿说明书 + 专业转介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家族传承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J.P. Morgan / Northern Trust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价值观、意图与跨代教育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生命叙事作为家庭顾问素材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F4EEDC"/>
      </w:pPr>
      <w:r>
        <w:rPr>
          <w:rFonts w:ascii="Calibri" w:hAnsi="Calibri" w:eastAsia="Microsoft YaHei"/>
          <w:b/>
          <w:color w:val="7543A3"/>
        </w:rPr>
        <w:t xml:space="preserve">竞争优势假设  </w:t>
      </w:r>
      <w:r>
        <w:rPr>
          <w:rFonts w:ascii="Calibri" w:hAnsi="Calibri" w:eastAsia="Microsoft YaHei"/>
          <w:color w:val="17111F"/>
        </w:rPr>
        <w:t>若能形成高质量访谈网络、标准化授权治理和长期可信档案，项目壁垒将来自服务流程与信任网络，而不只是模型或硬件。</w:t>
      </w:r>
    </w:p>
    <w:p>
      <w:r>
        <w:br w:type="page"/>
      </w:r>
    </w:p>
    <w:p>
      <w:pPr>
        <w:pStyle w:val="Heading1"/>
      </w:pPr>
      <w:r>
        <w:t>六、商业模式</w:t>
      </w:r>
    </w:p>
    <w:p>
      <w:pPr>
        <w:pStyle w:val="Heading2"/>
      </w:pPr>
      <w:r>
        <w:t>收入结构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44"/>
        <w:gridCol w:w="2088"/>
        <w:gridCol w:w="3312"/>
        <w:gridCol w:w="2016"/>
      </w:tblGrid>
      <w:tr>
        <w:trPr>
          <w:tblHeader w:val="true"/>
        </w:trPr>
        <w:tc>
          <w:tcPr>
            <w:tcW w:type="dxa" w:w="194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收入来源</w:t>
            </w:r>
          </w:p>
        </w:tc>
        <w:tc>
          <w:tcPr>
            <w:tcW w:type="dxa" w:w="208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客户</w:t>
            </w:r>
          </w:p>
        </w:tc>
        <w:tc>
          <w:tcPr>
            <w:tcW w:type="dxa" w:w="331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计费逻辑</w:t>
            </w:r>
          </w:p>
        </w:tc>
        <w:tc>
          <w:tcPr>
            <w:tcW w:type="dxa" w:w="201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阶段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机构年度服务</w:t>
            </w:r>
          </w:p>
        </w:tc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养老院、康养社区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按项目/院区/年度席位</w:t>
            </w:r>
          </w:p>
        </w:tc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近期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私人定制</w:t>
            </w:r>
          </w:p>
        </w:tc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高净值家庭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按访谈深度与作品规格</w:t>
            </w:r>
          </w:p>
        </w:tc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近期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渠道合作</w:t>
            </w:r>
          </w:p>
        </w:tc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私行、保险、家办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服务包采购、联合品牌或转介</w:t>
            </w:r>
          </w:p>
        </w:tc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近期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数字档案托管</w:t>
            </w:r>
          </w:p>
        </w:tc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家庭与机构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年度存储、权限、备份与导出服务</w:t>
            </w:r>
          </w:p>
        </w:tc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中期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专业培训与方法授权</w:t>
            </w:r>
          </w:p>
        </w:tc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机构、高校、公益组织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课程、认证与项目支持</w:t>
            </w:r>
          </w:p>
        </w:tc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中期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生态纪念合作</w:t>
            </w:r>
          </w:p>
        </w:tc>
        <w:tc>
          <w:tcPr>
            <w:tcW w:type="dxa" w:w="208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纪念林、园林、安葬伙伴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方案费、设备与长期内容服务</w:t>
            </w:r>
          </w:p>
        </w:tc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远期</w:t>
            </w:r>
          </w:p>
        </w:tc>
      </w:tr>
    </w:tbl>
    <w:p>
      <w:pPr>
        <w:spacing w:after="40"/>
      </w:pPr>
    </w:p>
    <w:p>
      <w:pPr>
        <w:pStyle w:val="Heading2"/>
      </w:pPr>
      <w:r>
        <w:t>公益回流</w:t>
      </w:r>
    </w:p>
    <w:p>
      <w:r>
        <w:rPr>
          <w:rFonts w:ascii="Calibri" w:hAnsi="Calibri" w:eastAsia="Microsoft YaHei"/>
        </w:rPr>
        <w:t>建议将高端定制服务的部分毛利、基金资助与企业CSR共同用于社区长者基础访谈，形成“一项使命、两条路径”的影响力模型。</w:t>
      </w:r>
    </w:p>
    <w:p>
      <w:r>
        <w:br w:type="page"/>
      </w:r>
    </w:p>
    <w:p>
      <w:pPr>
        <w:pStyle w:val="Heading1"/>
      </w:pPr>
      <w:r>
        <w:t>七、定价与单位经济假设</w:t>
      </w:r>
    </w:p>
    <w:p>
      <w:pPr>
        <w:pStyle w:val="Lead"/>
      </w:pPr>
      <w:r>
        <w:rPr>
          <w:rFonts w:ascii="Calibri" w:hAnsi="Calibri" w:eastAsia="Microsoft YaHei"/>
        </w:rPr>
        <w:t>以下为早期试算区间，用于商业模型讨论，不是最终报价或收入承诺。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016"/>
        <w:gridCol w:w="1872"/>
        <w:gridCol w:w="3168"/>
        <w:gridCol w:w="2304"/>
      </w:tblGrid>
      <w:tr>
        <w:trPr>
          <w:tblHeader w:val="true"/>
        </w:trPr>
        <w:tc>
          <w:tcPr>
            <w:tcW w:type="dxa" w:w="201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产品</w:t>
            </w:r>
          </w:p>
        </w:tc>
        <w:tc>
          <w:tcPr>
            <w:tcW w:type="dxa" w:w="187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示意客单价</w:t>
            </w:r>
          </w:p>
        </w:tc>
        <w:tc>
          <w:tcPr>
            <w:tcW w:type="dxa" w:w="316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主要成本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毛利改善路径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基础生命故事包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0.6—1.2万元/人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访谈、转写、编辑、短片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题库与流程标准化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私人传记定制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3—15万元/家庭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资深采访、编辑、设计、拍摄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模块化制作与外部专家网络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机构年度计划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15—60万元/项目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驻点管理、批量交付、培训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提高每位访谈员产能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数字托管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0.1—0.5万元/年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存储、安全、客服、迁移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规模化与分级服务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生态纪念方案</w:t>
            </w:r>
          </w:p>
        </w:tc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按项目测算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硬件、园林、合规、运维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与持牌/合规伙伴分工</w:t>
            </w:r>
          </w:p>
        </w:tc>
      </w:tr>
    </w:tbl>
    <w:p>
      <w:pPr>
        <w:spacing w:after="40"/>
      </w:pPr>
    </w:p>
    <w:p>
      <w:pPr>
        <w:pStyle w:val="Heading2"/>
      </w:pPr>
      <w:r>
        <w:t>需重点验证的单位经济变量</w:t>
      </w:r>
    </w:p>
    <w:p>
      <w:pPr>
        <w:pStyle w:val="ListBullet"/>
      </w:pPr>
      <w:r>
        <w:rPr>
          <w:rFonts w:ascii="Calibri" w:hAnsi="Calibri" w:eastAsia="Microsoft YaHei"/>
        </w:rPr>
        <w:t>每位长者平均访谈小时与编辑小时。</w:t>
      </w:r>
    </w:p>
    <w:p>
      <w:pPr>
        <w:pStyle w:val="ListBullet"/>
      </w:pPr>
      <w:r>
        <w:rPr>
          <w:rFonts w:ascii="Calibri" w:hAnsi="Calibri" w:eastAsia="Microsoft YaHei"/>
        </w:rPr>
        <w:t>一次拍摄可覆盖的家庭数量与差旅半径。</w:t>
      </w:r>
    </w:p>
    <w:p>
      <w:pPr>
        <w:pStyle w:val="ListBullet"/>
      </w:pPr>
      <w:r>
        <w:rPr>
          <w:rFonts w:ascii="Calibri" w:hAnsi="Calibri" w:eastAsia="Microsoft YaHei"/>
        </w:rPr>
        <w:t>机构试点转年度服务的转化率。</w:t>
      </w:r>
    </w:p>
    <w:p>
      <w:pPr>
        <w:pStyle w:val="ListBullet"/>
      </w:pPr>
      <w:r>
        <w:rPr>
          <w:rFonts w:ascii="Calibri" w:hAnsi="Calibri" w:eastAsia="Microsoft YaHei"/>
        </w:rPr>
        <w:t>数字档案年度续费、客服和长期存储成本。</w:t>
      </w:r>
    </w:p>
    <w:p>
      <w:r>
        <w:br w:type="page"/>
      </w:r>
    </w:p>
    <w:p>
      <w:pPr>
        <w:pStyle w:val="Heading1"/>
      </w:pPr>
      <w:r>
        <w:t>八、三年财务情景试算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304"/>
        <w:gridCol w:w="2304"/>
        <w:gridCol w:w="2304"/>
        <w:gridCol w:w="2448"/>
      </w:tblGrid>
      <w:tr>
        <w:trPr>
          <w:tblHeader w:val="true"/>
        </w:trPr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指标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第1年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第2年</w:t>
            </w:r>
          </w:p>
        </w:tc>
        <w:tc>
          <w:tcPr>
            <w:tcW w:type="dxa" w:w="244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第3年</w:t>
            </w:r>
          </w:p>
        </w:tc>
      </w:tr>
      <w:tr>
        <w:trPr/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收入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180万元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680万元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1,800万元</w:t>
            </w:r>
          </w:p>
        </w:tc>
      </w:tr>
      <w:tr>
        <w:trPr/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服务长者/家庭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约120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约420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约1,100</w:t>
            </w:r>
          </w:p>
        </w:tc>
      </w:tr>
      <w:tr>
        <w:trPr/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机构/渠道合作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3—5家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12—18家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30—45家</w:t>
            </w:r>
          </w:p>
        </w:tc>
      </w:tr>
      <w:tr>
        <w:trPr/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综合毛利率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约35%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约46%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约54%</w:t>
            </w:r>
          </w:p>
        </w:tc>
      </w:tr>
      <w:tr>
        <w:trPr/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核心团队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6—8人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12—18人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25—35人</w:t>
            </w:r>
          </w:p>
        </w:tc>
      </w:tr>
      <w:tr>
        <w:trPr/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经营重点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验证交付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复制渠道</w:t>
            </w:r>
          </w:p>
        </w:tc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平台与区域扩张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F4EEDC"/>
      </w:pPr>
      <w:r>
        <w:rPr>
          <w:rFonts w:ascii="Calibri" w:hAnsi="Calibri" w:eastAsia="Microsoft YaHei"/>
          <w:b/>
          <w:color w:val="7543A3"/>
        </w:rPr>
        <w:t xml:space="preserve">假设说明  </w:t>
      </w:r>
      <w:r>
        <w:rPr>
          <w:rFonts w:ascii="Calibri" w:hAnsi="Calibri" w:eastAsia="Microsoft YaHei"/>
          <w:color w:val="17111F"/>
        </w:rPr>
        <w:t>该试算基于平均客单价、交付产能和渠道转化的内部假设，不构成投资回报或业绩承诺。正式融资材料应在试点后以真实订单、成本与留存数据更新。</w:t>
      </w:r>
    </w:p>
    <w:p>
      <w:r>
        <w:br w:type="page"/>
      </w:r>
    </w:p>
    <w:p>
      <w:pPr>
        <w:pStyle w:val="Heading1"/>
      </w:pPr>
      <w:r>
        <w:t>九、获客与增长路径</w:t>
      </w:r>
    </w:p>
    <w:p>
      <w:pPr>
        <w:pStyle w:val="Heading2"/>
      </w:pPr>
      <w:r>
        <w:t>B2B2C为主，品牌直客为辅</w:t>
      </w:r>
    </w:p>
    <w:p>
      <w:pPr>
        <w:pStyle w:val="ListNumber"/>
      </w:pPr>
      <w:r>
        <w:rPr>
          <w:rFonts w:ascii="Calibri" w:hAnsi="Calibri" w:eastAsia="Microsoft YaHei"/>
        </w:rPr>
        <w:t>通过养老院、康养社区、慈善基金建立首批真实场景与案例。</w:t>
      </w:r>
    </w:p>
    <w:p>
      <w:pPr>
        <w:pStyle w:val="ListNumber"/>
      </w:pPr>
      <w:r>
        <w:rPr>
          <w:rFonts w:ascii="Calibri" w:hAnsi="Calibri" w:eastAsia="Microsoft YaHei"/>
        </w:rPr>
        <w:t>与私人银行、保险、家办共同定义高净值客户服务包。</w:t>
      </w:r>
    </w:p>
    <w:p>
      <w:pPr>
        <w:pStyle w:val="ListNumber"/>
      </w:pPr>
      <w:r>
        <w:rPr>
          <w:rFonts w:ascii="Calibri" w:hAnsi="Calibri" w:eastAsia="Microsoft YaHei"/>
        </w:rPr>
        <w:t>通过高校与青年志愿者计划扩大访谈能力和社会影响。</w:t>
      </w:r>
    </w:p>
    <w:p>
      <w:pPr>
        <w:pStyle w:val="ListNumber"/>
      </w:pPr>
      <w:r>
        <w:rPr>
          <w:rFonts w:ascii="Calibri" w:hAnsi="Calibri" w:eastAsia="Microsoft YaHei"/>
        </w:rPr>
        <w:t>在试点方法稳定后，建立城市合作伙伴与认证访谈员网络。</w:t>
      </w:r>
    </w:p>
    <w:p>
      <w:pPr>
        <w:pStyle w:val="ListNumber"/>
      </w:pPr>
      <w:r>
        <w:rPr>
          <w:rFonts w:ascii="Calibri" w:hAnsi="Calibri" w:eastAsia="Microsoft YaHei"/>
        </w:rPr>
        <w:t>远期与纪念林、园林和设备伙伴探索数字生命树场景。</w:t>
      </w:r>
    </w:p>
    <w:p>
      <w:pPr>
        <w:pStyle w:val="Heading2"/>
      </w:pPr>
      <w:r>
        <w:t>关键增长资产</w:t>
      </w:r>
    </w:p>
    <w:p>
      <w:pPr>
        <w:pStyle w:val="ListBullet"/>
      </w:pPr>
      <w:r>
        <w:rPr>
          <w:rFonts w:ascii="Calibri" w:hAnsi="Calibri" w:eastAsia="Microsoft YaHei"/>
        </w:rPr>
        <w:t>经授权、可公开的高质量案例与家庭推荐。</w:t>
      </w:r>
    </w:p>
    <w:p>
      <w:pPr>
        <w:pStyle w:val="ListBullet"/>
      </w:pPr>
      <w:r>
        <w:rPr>
          <w:rFonts w:ascii="Calibri" w:hAnsi="Calibri" w:eastAsia="Microsoft YaHei"/>
        </w:rPr>
        <w:t>可培训、可审计的访谈与内容生产标准。</w:t>
      </w:r>
    </w:p>
    <w:p>
      <w:pPr>
        <w:pStyle w:val="ListBullet"/>
      </w:pPr>
      <w:r>
        <w:rPr>
          <w:rFonts w:ascii="Calibri" w:hAnsi="Calibri" w:eastAsia="Microsoft YaHei"/>
        </w:rPr>
        <w:t>机构能够理解的合规、伦理和数据治理方案。</w:t>
      </w:r>
    </w:p>
    <w:p>
      <w:pPr>
        <w:pStyle w:val="ListBullet"/>
      </w:pPr>
      <w:r>
        <w:rPr>
          <w:rFonts w:ascii="Calibri" w:hAnsi="Calibri" w:eastAsia="Microsoft YaHei"/>
        </w:rPr>
        <w:t>可导出、可迁移、可长期维护的家庭档案产品。</w:t>
      </w:r>
    </w:p>
    <w:p>
      <w:r>
        <w:br w:type="page"/>
      </w:r>
    </w:p>
    <w:p>
      <w:pPr>
        <w:pStyle w:val="Heading1"/>
      </w:pPr>
      <w:r>
        <w:t>十、交付与运营体系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440"/>
        <w:gridCol w:w="3240"/>
        <w:gridCol w:w="2880"/>
        <w:gridCol w:w="1800"/>
      </w:tblGrid>
      <w:tr>
        <w:trPr>
          <w:tblHeader w:val="true"/>
        </w:trPr>
        <w:tc>
          <w:tcPr>
            <w:tcW w:type="dxa" w:w="144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环节</w:t>
            </w:r>
          </w:p>
        </w:tc>
        <w:tc>
          <w:tcPr>
            <w:tcW w:type="dxa" w:w="324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标准动作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质量门槛</w:t>
            </w:r>
          </w:p>
        </w:tc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责任角色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招募</w:t>
            </w:r>
          </w:p>
        </w:tc>
        <w:tc>
          <w:tcPr>
            <w:tcW w:type="dxa" w:w="32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说明项目、判断参与意愿与风险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不以家属意愿替代本人意愿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项目经理/机构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授权</w:t>
            </w:r>
          </w:p>
        </w:tc>
        <w:tc>
          <w:tcPr>
            <w:tcW w:type="dxa" w:w="32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分项授权生前、身后、公开与AI用途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可理解、可撤回、有记录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合规/访谈员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</w:t>
            </w:r>
          </w:p>
        </w:tc>
        <w:tc>
          <w:tcPr>
            <w:tcW w:type="dxa" w:w="32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主题提纲、双重备份、情绪观察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尊重节奏、不诱导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认证访谈员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编辑</w:t>
            </w:r>
          </w:p>
        </w:tc>
        <w:tc>
          <w:tcPr>
            <w:tcW w:type="dxa" w:w="32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转写、事实标记、家属补充、版本审阅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关键事实有出处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编辑/制片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交付</w:t>
            </w:r>
          </w:p>
        </w:tc>
        <w:tc>
          <w:tcPr>
            <w:tcW w:type="dxa" w:w="32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作品、审阅页、权限和导出说明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本人/指定家属确认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客户成功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托管</w:t>
            </w:r>
          </w:p>
        </w:tc>
        <w:tc>
          <w:tcPr>
            <w:tcW w:type="dxa" w:w="32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备份、访问日志、年度确认、迁移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安全与连续性</w:t>
            </w:r>
          </w:p>
        </w:tc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平台/运维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十一、技术架构与可信记忆</w:t>
      </w:r>
    </w:p>
    <w:p>
      <w:pPr>
        <w:pStyle w:val="Heading2"/>
      </w:pPr>
      <w:r>
        <w:t>资料层</w:t>
      </w:r>
    </w:p>
    <w:p>
      <w:r>
        <w:rPr>
          <w:rFonts w:ascii="Calibri" w:hAnsi="Calibri" w:eastAsia="Microsoft YaHei"/>
        </w:rPr>
        <w:t>保存原始音视频、转写、照片、书信、时间线、人物关系与授权记录；敏感资料按最小必要原则采集。</w:t>
      </w:r>
    </w:p>
    <w:p>
      <w:pPr>
        <w:pStyle w:val="Heading2"/>
      </w:pPr>
      <w:r>
        <w:t>知识层</w:t>
      </w:r>
    </w:p>
    <w:p>
      <w:r>
        <w:rPr>
          <w:rFonts w:ascii="Calibri" w:hAnsi="Calibri" w:eastAsia="Microsoft YaHei"/>
        </w:rPr>
        <w:t>将事实、观点、回忆、传闻和后期补充分别标记；每个可回答片段关联原始出处与时间戳。</w:t>
      </w:r>
    </w:p>
    <w:p>
      <w:pPr>
        <w:pStyle w:val="Heading2"/>
      </w:pPr>
      <w:r>
        <w:t>智能层</w:t>
      </w:r>
    </w:p>
    <w:p>
      <w:r>
        <w:rPr>
          <w:rFonts w:ascii="Calibri" w:hAnsi="Calibri" w:eastAsia="Microsoft YaHei"/>
        </w:rPr>
        <w:t>采用检索增强生成；当资料不足、冲突或超出授权范围时拒答；持续显示AI身份和来源。</w:t>
      </w:r>
    </w:p>
    <w:p>
      <w:pPr>
        <w:pStyle w:val="Heading2"/>
      </w:pPr>
      <w:r>
        <w:t>体验层</w:t>
      </w:r>
    </w:p>
    <w:p>
      <w:r>
        <w:rPr>
          <w:rFonts w:ascii="Calibri" w:hAnsi="Calibri" w:eastAsia="Microsoft YaHei"/>
        </w:rPr>
        <w:t>提供家庭审阅、提问、纪念日、权限管理、下载与迁移；树旁设备仅作为低功耗入口。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016"/>
        <w:gridCol w:w="7344"/>
      </w:tblGrid>
      <w:tr>
        <w:trPr>
          <w:tblHeader w:val="true"/>
        </w:trPr>
        <w:tc>
          <w:tcPr>
            <w:tcW w:type="dxa" w:w="201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原则</w:t>
            </w:r>
          </w:p>
        </w:tc>
        <w:tc>
          <w:tcPr>
            <w:tcW w:type="dxa" w:w="734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系统要求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最小化</w:t>
            </w:r>
          </w:p>
        </w:tc>
        <w:tc>
          <w:tcPr>
            <w:tcW w:type="dxa" w:w="73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只收集服务所需资料，默认不公开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可追溯</w:t>
            </w:r>
          </w:p>
        </w:tc>
        <w:tc>
          <w:tcPr>
            <w:tcW w:type="dxa" w:w="73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回答能够回到原始访谈或材料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可撤回</w:t>
            </w:r>
          </w:p>
        </w:tc>
        <w:tc>
          <w:tcPr>
            <w:tcW w:type="dxa" w:w="73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老人可调整权限、停止使用或删除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可迁移</w:t>
            </w:r>
          </w:p>
        </w:tc>
        <w:tc>
          <w:tcPr>
            <w:tcW w:type="dxa" w:w="73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提供常用格式导出与运营终止交接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不冒充</w:t>
            </w:r>
          </w:p>
        </w:tc>
        <w:tc>
          <w:tcPr>
            <w:tcW w:type="dxa" w:w="73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不让数字形象发布老人未表达的新决定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十二、合规、伦理与风险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016"/>
        <w:gridCol w:w="3168"/>
        <w:gridCol w:w="4176"/>
      </w:tblGrid>
      <w:tr>
        <w:trPr>
          <w:tblHeader w:val="true"/>
        </w:trPr>
        <w:tc>
          <w:tcPr>
            <w:tcW w:type="dxa" w:w="201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风险</w:t>
            </w:r>
          </w:p>
        </w:tc>
        <w:tc>
          <w:tcPr>
            <w:tcW w:type="dxa" w:w="316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可能后果</w:t>
            </w:r>
          </w:p>
        </w:tc>
        <w:tc>
          <w:tcPr>
            <w:tcW w:type="dxa" w:w="417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控制措施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授权不足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资料使用争议、家庭冲突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分项授权、能力评估、撤回机制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AI幻觉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错误记忆、身份混淆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检索增强、出处、拒答和生成标识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敏感泄露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隐私与声誉损害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最小化、分级权限、加密、审计和导出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专业越权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法律、投资或医疗责任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明确转介，不提供无资质服务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情感操纵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利用哀伤诱导消费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禁止代言、强提醒AI身份、伦理审查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长期中断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家庭失去档案访问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备份、迁移、终止预案和长期资金安排</w:t>
            </w:r>
          </w:p>
        </w:tc>
      </w:tr>
      <w:tr>
        <w:trPr/>
        <w:tc>
          <w:tcPr>
            <w:tcW w:type="dxa" w:w="201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场地不合规</w:t>
            </w:r>
          </w:p>
        </w:tc>
        <w:tc>
          <w:tcPr>
            <w:tcW w:type="dxa" w:w="316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生态纪念项目无法落地</w:t>
            </w:r>
          </w:p>
        </w:tc>
        <w:tc>
          <w:tcPr>
            <w:tcW w:type="dxa" w:w="417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只与合规土地/安葬/园林伙伴实施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十三、社会影响与评估</w:t>
      </w:r>
    </w:p>
    <w:p>
      <w:pPr>
        <w:pStyle w:val="Lead"/>
      </w:pPr>
      <w:r>
        <w:rPr>
          <w:rFonts w:ascii="Calibri" w:hAnsi="Calibri" w:eastAsia="Microsoft YaHei"/>
        </w:rPr>
        <w:t>项目不把生命回顾包装成医疗治疗；影响评估聚焦参与、尊严、家庭使用、资料质量与公共记忆。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28"/>
        <w:gridCol w:w="4896"/>
        <w:gridCol w:w="2736"/>
      </w:tblGrid>
      <w:tr>
        <w:trPr>
          <w:tblHeader w:val="true"/>
        </w:trPr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影响层</w:t>
            </w:r>
          </w:p>
        </w:tc>
        <w:tc>
          <w:tcPr>
            <w:tcW w:type="dxa" w:w="489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建议指标</w:t>
            </w:r>
          </w:p>
        </w:tc>
        <w:tc>
          <w:tcPr>
            <w:tcW w:type="dxa" w:w="273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数据来源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长者体验</w:t>
            </w:r>
          </w:p>
        </w:tc>
        <w:tc>
          <w:tcPr>
            <w:tcW w:type="dxa" w:w="48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自愿参与、完成率、被尊重感、退出原因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访谈后反馈与观察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家庭连接</w:t>
            </w:r>
          </w:p>
        </w:tc>
        <w:tc>
          <w:tcPr>
            <w:tcW w:type="dxa" w:w="48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审阅、播放、补充、共同对话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家庭使用与访谈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资料质量</w:t>
            </w:r>
          </w:p>
        </w:tc>
        <w:tc>
          <w:tcPr>
            <w:tcW w:type="dxa" w:w="48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核验率、出处覆盖率、授权完整率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内容与治理记录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机构价值</w:t>
            </w:r>
          </w:p>
        </w:tc>
        <w:tc>
          <w:tcPr>
            <w:tcW w:type="dxa" w:w="48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家属反馈、续约意愿、员工参与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机构复盘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公益覆盖</w:t>
            </w:r>
          </w:p>
        </w:tc>
        <w:tc>
          <w:tcPr>
            <w:tcW w:type="dxa" w:w="48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受益人数、青年志愿者时数、城市档案贡献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项目台账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生态责任</w:t>
            </w:r>
          </w:p>
        </w:tc>
        <w:tc>
          <w:tcPr>
            <w:tcW w:type="dxa" w:w="48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设备能耗、维护、可回收与场地合规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供应与运维记录</w:t>
            </w:r>
          </w:p>
        </w:tc>
      </w:tr>
    </w:tbl>
    <w:p>
      <w:pPr>
        <w:spacing w:after="40"/>
      </w:pPr>
    </w:p>
    <w:p>
      <w:pPr>
        <w:pStyle w:val="SmallNote"/>
      </w:pPr>
      <w:r>
        <w:rPr>
          <w:rFonts w:ascii="Calibri" w:hAnsi="Calibri" w:eastAsia="Microsoft YaHei"/>
        </w:rPr>
        <w:t>生命回顾相关研究显示改善长者生活质量与生活满意度的潜力，但本项目必须在具体人群、方法和专业监督下谨慎解释，不作医疗效果承诺。</w:t>
      </w:r>
    </w:p>
    <w:p>
      <w:r>
        <w:br w:type="page"/>
      </w:r>
    </w:p>
    <w:p>
      <w:pPr>
        <w:pStyle w:val="Heading1"/>
      </w:pPr>
      <w:r>
        <w:t>十四、90天试点与18个月路线图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28"/>
        <w:gridCol w:w="2880"/>
        <w:gridCol w:w="3312"/>
        <w:gridCol w:w="1440"/>
      </w:tblGrid>
      <w:tr>
        <w:trPr>
          <w:tblHeader w:val="true"/>
        </w:trPr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时间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目标</w:t>
            </w:r>
          </w:p>
        </w:tc>
        <w:tc>
          <w:tcPr>
            <w:tcW w:type="dxa" w:w="331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关键成果</w:t>
            </w:r>
          </w:p>
        </w:tc>
        <w:tc>
          <w:tcPr>
            <w:tcW w:type="dxa" w:w="144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决策门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0—3个月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完成首轮10—20人试点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传记、短片、反馈与治理复盘</w:t>
            </w:r>
          </w:p>
        </w:tc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是否值得继续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4—6个月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形成2—3个机构服务包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标准定价、培训、质量手册</w:t>
            </w:r>
          </w:p>
        </w:tc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能否复制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7—12个月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上线家庭数字馆最小版本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权限、审阅、检索、导出</w:t>
            </w:r>
          </w:p>
        </w:tc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是否产生留存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13—18个月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拓展渠道并验证硬件概念</w:t>
            </w:r>
          </w:p>
        </w:tc>
        <w:tc>
          <w:tcPr>
            <w:tcW w:type="dxa" w:w="33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私行/保险合作、低功耗样机评估</w:t>
            </w:r>
          </w:p>
        </w:tc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是否进入规模化</w:t>
            </w:r>
          </w:p>
        </w:tc>
      </w:tr>
    </w:tbl>
    <w:p>
      <w:pPr>
        <w:spacing w:after="40"/>
      </w:pPr>
    </w:p>
    <w:p>
      <w:pPr>
        <w:pStyle w:val="Heading2"/>
      </w:pPr>
      <w:r>
        <w:t>首轮成功标准</w:t>
      </w:r>
    </w:p>
    <w:p>
      <w:pPr>
        <w:pStyle w:val="ListBullet"/>
      </w:pPr>
      <w:r>
        <w:rPr>
          <w:rFonts w:ascii="Calibri" w:hAnsi="Calibri" w:eastAsia="Microsoft YaHei"/>
        </w:rPr>
        <w:t>多数参与者愿意完成约定访谈，退出原因被尊重并记录。</w:t>
      </w:r>
    </w:p>
    <w:p>
      <w:pPr>
        <w:pStyle w:val="ListBullet"/>
      </w:pPr>
      <w:r>
        <w:rPr>
          <w:rFonts w:ascii="Calibri" w:hAnsi="Calibri" w:eastAsia="Microsoft YaHei"/>
        </w:rPr>
        <w:t>家庭主动审阅、补充、保存或分享成果。</w:t>
      </w:r>
    </w:p>
    <w:p>
      <w:pPr>
        <w:pStyle w:val="ListBullet"/>
      </w:pPr>
      <w:r>
        <w:rPr>
          <w:rFonts w:ascii="Calibri" w:hAnsi="Calibri" w:eastAsia="Microsoft YaHei"/>
        </w:rPr>
        <w:t>合作机构愿意用预算或资源进入第二阶段。</w:t>
      </w:r>
    </w:p>
    <w:p>
      <w:pPr>
        <w:pStyle w:val="ListBullet"/>
      </w:pPr>
      <w:r>
        <w:rPr>
          <w:rFonts w:ascii="Calibri" w:hAnsi="Calibri" w:eastAsia="Microsoft YaHei"/>
        </w:rPr>
        <w:t>关键事实与AI回答具备可接受的出处覆盖率。</w:t>
      </w:r>
    </w:p>
    <w:p>
      <w:pPr>
        <w:pStyle w:val="ListBullet"/>
      </w:pPr>
      <w:r>
        <w:rPr>
          <w:rFonts w:ascii="Calibri" w:hAnsi="Calibri" w:eastAsia="Microsoft YaHei"/>
        </w:rPr>
        <w:t>未发生重大授权、隐私或情感伤害事件。</w:t>
      </w:r>
    </w:p>
    <w:p>
      <w:r>
        <w:br w:type="page"/>
      </w:r>
    </w:p>
    <w:p>
      <w:pPr>
        <w:pStyle w:val="Heading1"/>
      </w:pPr>
      <w:r>
        <w:t>十五、团队与治理架构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72"/>
        <w:gridCol w:w="2304"/>
        <w:gridCol w:w="5184"/>
      </w:tblGrid>
      <w:tr>
        <w:trPr>
          <w:tblHeader w:val="true"/>
        </w:trPr>
        <w:tc>
          <w:tcPr>
            <w:tcW w:type="dxa" w:w="187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角色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人员/状态</w:t>
            </w:r>
          </w:p>
        </w:tc>
        <w:tc>
          <w:tcPr>
            <w:tcW w:type="dxa" w:w="518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职责</w:t>
            </w:r>
          </w:p>
        </w:tc>
      </w:tr>
      <w:tr>
        <w:trPr/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项目倡导人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郭丹锐</w:t>
            </w:r>
          </w:p>
        </w:tc>
        <w:tc>
          <w:tcPr>
            <w:tcW w:type="dxa" w:w="51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战略倡导、创业资源、基金与科创生态连接</w:t>
            </w:r>
          </w:p>
        </w:tc>
      </w:tr>
      <w:tr>
        <w:trPr/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创始合伙人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Mia Huang</w:t>
            </w:r>
          </w:p>
        </w:tc>
        <w:tc>
          <w:tcPr>
            <w:tcW w:type="dxa" w:w="51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合规、风险与治理体系</w:t>
            </w:r>
          </w:p>
        </w:tc>
      </w:tr>
      <w:tr>
        <w:trPr/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项目负责人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待组建</w:t>
            </w:r>
          </w:p>
        </w:tc>
        <w:tc>
          <w:tcPr>
            <w:tcW w:type="dxa" w:w="51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产品、交付、预算与伙伴管理</w:t>
            </w:r>
          </w:p>
        </w:tc>
      </w:tr>
      <w:tr>
        <w:trPr/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内容负责人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待组建</w:t>
            </w:r>
          </w:p>
        </w:tc>
        <w:tc>
          <w:tcPr>
            <w:tcW w:type="dxa" w:w="51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访谈、编辑、影像与质量标准</w:t>
            </w:r>
          </w:p>
        </w:tc>
      </w:tr>
      <w:tr>
        <w:trPr/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技术负责人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待组建</w:t>
            </w:r>
          </w:p>
        </w:tc>
        <w:tc>
          <w:tcPr>
            <w:tcW w:type="dxa" w:w="51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档案平台、AI与数据安全</w:t>
            </w:r>
          </w:p>
        </w:tc>
      </w:tr>
      <w:tr>
        <w:trPr/>
        <w:tc>
          <w:tcPr>
            <w:tcW w:type="dxa" w:w="187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顾问委员会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拟邀/开放席位</w:t>
            </w:r>
          </w:p>
        </w:tc>
        <w:tc>
          <w:tcPr>
            <w:tcW w:type="dxa" w:w="51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养老、法律信托、伦理、园林、硬件与公益</w:t>
            </w:r>
          </w:p>
        </w:tc>
      </w:tr>
    </w:tbl>
    <w:p>
      <w:pPr>
        <w:spacing w:after="40"/>
      </w:pPr>
    </w:p>
    <w:p>
      <w:pPr>
        <w:pStyle w:val="Heading2"/>
      </w:pPr>
      <w:r>
        <w:t>核心成员</w:t>
      </w:r>
    </w:p>
    <w:p>
      <w:r>
        <w:rPr>
          <w:rFonts w:ascii="Calibri" w:hAnsi="Calibri" w:eastAsia="Microsoft YaHei"/>
        </w:rPr>
        <w:t>郭丹锐｜项目倡导人。北京大学广东校友会副会长；科技创业投资人、科创导师；Xccelerate科技基金会（XTF）合伙人&amp;基金经理。</w:t>
      </w:r>
    </w:p>
    <w:p>
      <w:r>
        <w:rPr>
          <w:rFonts w:ascii="Calibri" w:hAnsi="Calibri" w:eastAsia="Microsoft YaHei"/>
        </w:rPr>
        <w:t>Mia Huang｜创始合伙人·合规与治理。公募基金合规部负责人。</w:t>
      </w:r>
    </w:p>
    <w:p>
      <w:pPr>
        <w:pStyle w:val="SmallNote"/>
      </w:pPr>
      <w:r>
        <w:rPr>
          <w:rFonts w:ascii="Calibri" w:hAnsi="Calibri" w:eastAsia="Microsoft YaHei"/>
        </w:rPr>
        <w:t>以上身份与头衔由项目方提供。顾问团队尚在组建，未确认成员不对外署名。</w:t>
      </w:r>
    </w:p>
    <w:p>
      <w:r>
        <w:br w:type="page"/>
      </w:r>
    </w:p>
    <w:p>
      <w:pPr>
        <w:pStyle w:val="Heading1"/>
      </w:pPr>
      <w:r>
        <w:t>十六、融资/资源需求与资金用途</w:t>
      </w:r>
    </w:p>
    <w:p>
      <w:pPr>
        <w:pStyle w:val="Lead"/>
      </w:pPr>
      <w:r>
        <w:rPr>
          <w:rFonts w:ascii="Calibri" w:hAnsi="Calibri" w:eastAsia="Microsoft YaHei"/>
        </w:rPr>
        <w:t>建议以首轮试点和18个月里程碑为基础确定融资或资助规模，避免在服务模型未验证前重资产投入。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92"/>
        <w:gridCol w:w="1728"/>
        <w:gridCol w:w="5040"/>
      </w:tblGrid>
      <w:tr>
        <w:trPr>
          <w:tblHeader w:val="true"/>
        </w:trPr>
        <w:tc>
          <w:tcPr>
            <w:tcW w:type="dxa" w:w="259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用途</w:t>
            </w:r>
          </w:p>
        </w:tc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建议占比</w:t>
            </w:r>
          </w:p>
        </w:tc>
        <w:tc>
          <w:tcPr>
            <w:tcW w:type="dxa" w:w="504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主要内容</w:t>
            </w:r>
          </w:p>
        </w:tc>
      </w:tr>
      <w:tr>
        <w:trPr/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服务与内容团队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35%</w:t>
            </w:r>
          </w:p>
        </w:tc>
        <w:tc>
          <w:tcPr>
            <w:tcW w:type="dxa" w:w="50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访谈、编辑、影像、项目管理与培训</w:t>
            </w:r>
          </w:p>
        </w:tc>
      </w:tr>
      <w:tr>
        <w:trPr/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平台与数据治理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25%</w:t>
            </w:r>
          </w:p>
        </w:tc>
        <w:tc>
          <w:tcPr>
            <w:tcW w:type="dxa" w:w="50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家庭数字馆、检索、权限、备份和安全</w:t>
            </w:r>
          </w:p>
        </w:tc>
      </w:tr>
      <w:tr>
        <w:trPr/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市场与伙伴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15%</w:t>
            </w:r>
          </w:p>
        </w:tc>
        <w:tc>
          <w:tcPr>
            <w:tcW w:type="dxa" w:w="50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机构试点、渠道共创、品牌与案例</w:t>
            </w:r>
          </w:p>
        </w:tc>
      </w:tr>
      <w:tr>
        <w:trPr/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专业合规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10%</w:t>
            </w:r>
          </w:p>
        </w:tc>
        <w:tc>
          <w:tcPr>
            <w:tcW w:type="dxa" w:w="50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法律、隐私、伦理、信托和专业评审</w:t>
            </w:r>
          </w:p>
        </w:tc>
      </w:tr>
      <w:tr>
        <w:trPr/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公益试点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10%</w:t>
            </w:r>
          </w:p>
        </w:tc>
        <w:tc>
          <w:tcPr>
            <w:tcW w:type="dxa" w:w="50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社区长者名额与青年志愿者体系</w:t>
            </w:r>
          </w:p>
        </w:tc>
      </w:tr>
      <w:tr>
        <w:trPr/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硬件概念验证</w:t>
            </w:r>
          </w:p>
        </w:tc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5%</w:t>
            </w:r>
          </w:p>
        </w:tc>
        <w:tc>
          <w:tcPr>
            <w:tcW w:type="dxa" w:w="50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低功耗样机、园林与运维评估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合作邀请  </w:t>
      </w:r>
      <w:r>
        <w:rPr>
          <w:rFonts w:ascii="Calibri" w:hAnsi="Calibri" w:eastAsia="Microsoft YaHei"/>
          <w:color w:val="17111F"/>
        </w:rPr>
        <w:t>优先寻找愿意共同验证首轮试点的养老机构、慈善基金、私人银行/保险、法律合规与技术供应伙伴。</w:t>
      </w:r>
    </w:p>
    <w:p>
      <w:r>
        <w:br w:type="page"/>
      </w:r>
    </w:p>
    <w:p>
      <w:pPr>
        <w:pStyle w:val="Heading1"/>
      </w:pPr>
      <w:r>
        <w:t>参考资料</w:t>
      </w:r>
    </w:p>
    <w:p>
      <w:pPr>
        <w:pStyle w:val="SmallNote"/>
      </w:pPr>
      <w:r>
        <w:rPr>
          <w:rFonts w:ascii="Calibri" w:hAnsi="Calibri" w:eastAsia="Microsoft YaHei"/>
        </w:rPr>
        <w:t>以下资料用于项目方法与全球参照，不表示本项目与相关机构存在合作关系。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StoryCorps. About StoryCorps. https://storycorps.org/about/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StoryFile Life. Interactive life stories. https://life.storyfile.com/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Better Place Forests. Memorial forests. https://www.betterplaceforests.com/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FreeWill. Digital estate planning resources. https://www.freewill.com/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J.P. Morgan Private Bank. Estate Planning. https://privatebank.jpmorgan.com/nam/en/services/wealth-planning-and-advice/estate-planning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Northern Trust. High Net Worth Families. https://www.northerntrust.com/united-states/what-we-do/wealth-management/products-services/high-net-worth-families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PubMed PMID 37887480. 2023 systematic review and meta-analysis on reminiscence interventions for older adults. https://pubmed.ncbi.nlm.nih.gov/37887480/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65D68"/>
        <w:sz w:val="16"/>
      </w:rPr>
      <w:t xml:space="preserve">第 </w:t>
    </w:r>
    <w:fldSimple w:instr="PAGE"/>
    <w:r>
      <w:rPr>
        <w:rFonts w:ascii="Calibri" w:hAnsi="Calibri" w:eastAsia="Microsoft YaHei"/>
        <w:color w:val="665D68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color w:val="7543A3"/>
        <w:sz w:val="16"/>
      </w:rPr>
      <w:t>传记传世  |  DIGITAL LIFE &amp; LEGACY INITIATIVE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 w:eastAsia="Microsoft YaHei"/>
      <w:color w:val="1711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7543A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7543A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45A4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tabs>
        <w:tab w:pos="720" w:val="left"/>
      </w:tabs>
      <w:spacing w:after="160" w:line="280" w:lineRule="auto"/>
      <w:ind w:left="720" w:hanging="360"/>
      <w:contextualSpacing/>
    </w:pPr>
    <w:rPr>
      <w:rFonts w:ascii="Calibri" w:hAnsi="Calibri" w:eastAsia="Microsoft YaHei"/>
      <w:color w:val="17111F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720" w:val="left"/>
      </w:tabs>
      <w:spacing w:after="160" w:line="280" w:lineRule="auto"/>
      <w:ind w:left="720" w:hanging="360"/>
      <w:contextualSpacing/>
    </w:pPr>
    <w:rPr>
      <w:rFonts w:ascii="Calibri" w:hAnsi="Calibri" w:eastAsia="Microsoft YaHei"/>
      <w:color w:val="17111F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basedOn w:val="Normal"/>
    <w:pPr>
      <w:spacing w:after="240" w:line="324" w:lineRule="auto"/>
    </w:pPr>
    <w:rPr>
      <w:rFonts w:ascii="Calibri" w:hAnsi="Calibri" w:eastAsia="Microsoft YaHei"/>
      <w:color w:val="31113F"/>
      <w:sz w:val="27"/>
    </w:rPr>
  </w:style>
  <w:style w:type="paragraph" w:customStyle="1" w:styleId="SmallNote">
    <w:name w:val="Small Note"/>
    <w:basedOn w:val="Normal"/>
    <w:pPr>
      <w:spacing w:before="80" w:after="80" w:line="276" w:lineRule="auto"/>
    </w:pPr>
    <w:rPr>
      <w:rFonts w:ascii="Calibri" w:hAnsi="Calibri" w:eastAsia="Microsoft YaHei"/>
      <w:color w:val="665D6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传记传世
商业计划书</dc:title>
  <dc:subject>数字生命树计划：从长者生命叙事到可信家族传承基础设施</dc:subject>
  <dc:creator>传记传世项目组</dc:creator>
  <cp:keywords>生命叙事, 长者关怀, 记忆智能体, 数字生命树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