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20"/>
      </w:pPr>
    </w:p>
    <w:p>
      <w:pPr>
        <w:spacing w:after="360"/>
        <w:jc w:val="left"/>
      </w:pPr>
      <w:r>
        <w:rPr>
          <w:rFonts w:ascii="Calibri" w:hAnsi="Calibri" w:eastAsia="Microsoft YaHei"/>
          <w:b/>
          <w:color w:val="B88A32"/>
          <w:sz w:val="20"/>
        </w:rPr>
        <w:t>LEGACY GROVE INITIATIVE</w:t>
      </w:r>
    </w:p>
    <w:p>
      <w:pPr>
        <w:spacing w:after="200"/>
        <w:jc w:val="left"/>
      </w:pPr>
      <w:r>
        <w:rPr>
          <w:rFonts w:ascii="Calibri" w:hAnsi="Calibri" w:eastAsia="Microsoft YaHei"/>
          <w:b/>
          <w:color w:val="31113F"/>
          <w:sz w:val="62"/>
        </w:rPr>
        <w:t>传记传世</w:t>
        <w:br/>
        <w:t>供应商与渠道合作方案</w:t>
      </w:r>
    </w:p>
    <w:p>
      <w:pPr>
        <w:spacing w:after="560"/>
        <w:jc w:val="left"/>
      </w:pPr>
      <w:r>
        <w:rPr>
          <w:rFonts w:ascii="Calibri" w:hAnsi="Calibri" w:eastAsia="Microsoft YaHei"/>
          <w:color w:val="665D68"/>
          <w:sz w:val="28"/>
        </w:rPr>
        <w:t>服务、技术、内容、养老、金融与生态纪念伙伴协作手册</w:t>
      </w:r>
    </w:p>
    <w:p>
      <w:pPr>
        <w:spacing w:before="160" w:after="240" w:line="300" w:lineRule="auto"/>
        <w:ind w:left="259" w:right="259"/>
        <w:shd w:fill="EFE7F3"/>
      </w:pPr>
      <w:r>
        <w:rPr>
          <w:rFonts w:ascii="Calibri" w:hAnsi="Calibri" w:eastAsia="Microsoft YaHei"/>
          <w:b/>
          <w:color w:val="7543A3"/>
        </w:rPr>
        <w:t xml:space="preserve">核心定位  </w:t>
      </w:r>
      <w:r>
        <w:rPr>
          <w:rFonts w:ascii="Calibri" w:hAnsi="Calibri" w:eastAsia="Microsoft YaHei"/>
          <w:color w:val="17111F"/>
        </w:rPr>
        <w:t>以长期陪伴记录长者真实人生，以可信技术传承家庭记忆，并以生态方式安放思念。</w:t>
      </w:r>
    </w:p>
    <w:p>
      <w:pPr>
        <w:spacing w:after="880"/>
      </w:pPr>
    </w:p>
    <w:p>
      <w:pPr>
        <w:spacing w:line="348" w:lineRule="auto"/>
        <w:jc w:val="left"/>
      </w:pPr>
      <w:r>
        <w:rPr>
          <w:rFonts w:ascii="Calibri" w:hAnsi="Calibri" w:eastAsia="Microsoft YaHei"/>
          <w:color w:val="665D68"/>
          <w:sz w:val="21"/>
        </w:rPr>
        <w:t>适用对象：内容制作、AI与云、低功耗硬件、养老机构、私行保险、园林纪念与专业服务伙伴</w:t>
        <w:br/>
        <w:t>版本：2026年8月</w:t>
        <w:br/>
        <w:t>项目阶段：概念与试点筹备阶段</w:t>
      </w:r>
    </w:p>
    <w:p>
      <w:r>
        <w:br w:type="page"/>
      </w:r>
    </w:p>
    <w:p>
      <w:pPr>
        <w:pStyle w:val="Heading1"/>
      </w:pPr>
      <w:r>
        <w:t>阅读导航</w:t>
      </w:r>
    </w:p>
    <w:p>
      <w:pPr>
        <w:pStyle w:val="Lead"/>
      </w:pPr>
      <w:r>
        <w:rPr>
          <w:rFonts w:ascii="Calibri" w:hAnsi="Calibri" w:eastAsia="Microsoft YaHei"/>
        </w:rPr>
        <w:t>本文件围绕“为什么合作、合作做什么、如何落地、怎样治理”展开，可按议题直接进入相关章节。</w:t>
      </w:r>
    </w:p>
    <w:p>
      <w:pPr>
        <w:pStyle w:val="Heading2"/>
      </w:pPr>
      <w:r>
        <w:t>01  伙伴地图</w:t>
      </w:r>
    </w:p>
    <w:p>
      <w:r>
        <w:rPr>
          <w:rFonts w:ascii="Calibri" w:hAnsi="Calibri" w:eastAsia="Microsoft YaHei"/>
        </w:rPr>
        <w:t>明确供应商、渠道与专业顾问的角色边界。</w:t>
      </w:r>
    </w:p>
    <w:p>
      <w:pPr>
        <w:pStyle w:val="Heading2"/>
      </w:pPr>
      <w:r>
        <w:t>02  准入机制</w:t>
      </w:r>
    </w:p>
    <w:p>
      <w:r>
        <w:rPr>
          <w:rFonts w:ascii="Calibri" w:hAnsi="Calibri" w:eastAsia="Microsoft YaHei"/>
        </w:rPr>
        <w:t>用资质、质量、隐私、可持续与交付能力筛选伙伴。</w:t>
      </w:r>
    </w:p>
    <w:p>
      <w:pPr>
        <w:pStyle w:val="Heading2"/>
      </w:pPr>
      <w:r>
        <w:t>03  合作模式</w:t>
      </w:r>
    </w:p>
    <w:p>
      <w:r>
        <w:rPr>
          <w:rFonts w:ascii="Calibri" w:hAnsi="Calibri" w:eastAsia="Microsoft YaHei"/>
        </w:rPr>
        <w:t>项目采购、联合方案、转介、联合品牌与区域合作。</w:t>
      </w:r>
    </w:p>
    <w:p>
      <w:pPr>
        <w:pStyle w:val="Heading2"/>
      </w:pPr>
      <w:r>
        <w:t>04  SLA与结算</w:t>
      </w:r>
    </w:p>
    <w:p>
      <w:r>
        <w:rPr>
          <w:rFonts w:ascii="Calibri" w:hAnsi="Calibri" w:eastAsia="Microsoft YaHei"/>
        </w:rPr>
        <w:t>围绕里程碑、验收、售后、变更与对账建立规则。</w:t>
      </w:r>
    </w:p>
    <w:p>
      <w:pPr>
        <w:pStyle w:val="Heading2"/>
      </w:pPr>
      <w:r>
        <w:t>05  90天启动</w:t>
      </w:r>
    </w:p>
    <w:p>
      <w:r>
        <w:rPr>
          <w:rFonts w:ascii="Calibri" w:hAnsi="Calibri" w:eastAsia="Microsoft YaHei"/>
        </w:rPr>
        <w:t>完成招募、评估、样例交付与首批场景验证。</w:t>
      </w:r>
    </w:p>
    <w:p>
      <w:r>
        <w:br w:type="page"/>
      </w:r>
    </w:p>
    <w:p>
      <w:pPr>
        <w:pStyle w:val="Heading1"/>
      </w:pPr>
      <w:r>
        <w:t>一、合作目标</w:t>
      </w:r>
    </w:p>
    <w:p>
      <w:pPr>
        <w:pStyle w:val="Lead"/>
      </w:pPr>
      <w:r>
        <w:rPr>
          <w:rFonts w:ascii="Calibri" w:hAnsi="Calibri" w:eastAsia="Microsoft YaHei"/>
        </w:rPr>
        <w:t>建立一套能够服务真实长者、经得起长期托付的合作网络：让每个环节都有专业伙伴、清晰责任、可验收标准和退出机制。</w:t>
      </w:r>
    </w:p>
    <w:p>
      <w:pPr>
        <w:pStyle w:val="ListBullet"/>
      </w:pPr>
      <w:r>
        <w:rPr>
          <w:rFonts w:ascii="Calibri" w:hAnsi="Calibri" w:eastAsia="Microsoft YaHei"/>
        </w:rPr>
        <w:t>供应商负责专业交付，不借项目之名扩大未经授权的数据使用。</w:t>
      </w:r>
    </w:p>
    <w:p>
      <w:pPr>
        <w:pStyle w:val="ListBullet"/>
      </w:pPr>
      <w:r>
        <w:rPr>
          <w:rFonts w:ascii="Calibri" w:hAnsi="Calibri" w:eastAsia="Microsoft YaHei"/>
        </w:rPr>
        <w:t>渠道伙伴负责真实场景与客户关系，不替代长者本人的知情同意。</w:t>
      </w:r>
    </w:p>
    <w:p>
      <w:pPr>
        <w:pStyle w:val="ListBullet"/>
      </w:pPr>
      <w:r>
        <w:rPr>
          <w:rFonts w:ascii="Calibri" w:hAnsi="Calibri" w:eastAsia="Microsoft YaHei"/>
        </w:rPr>
        <w:t>专业顾问负责法律、伦理、信托、医疗或安葬等领域的专业判断。</w:t>
      </w:r>
    </w:p>
    <w:p>
      <w:pPr>
        <w:pStyle w:val="ListBullet"/>
      </w:pPr>
      <w:r>
        <w:rPr>
          <w:rFonts w:ascii="Calibri" w:hAnsi="Calibri" w:eastAsia="Microsoft YaHei"/>
        </w:rPr>
        <w:t>项目组负责方案整合、客户体验、数据治理与整体质量。</w:t>
      </w: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重要边界  </w:t>
      </w:r>
      <w:r>
        <w:rPr>
          <w:rFonts w:ascii="Calibri" w:hAnsi="Calibri" w:eastAsia="Microsoft YaHei"/>
          <w:color w:val="17111F"/>
        </w:rPr>
        <w:t>本材料为项目概念与合作讨论文件，不构成法律、医疗、投资、财富管理或安葬服务承诺。遗嘱、公证、信托、税务、资产管理与生态安葬应由具备相应资质的专业机构实施。</w:t>
      </w:r>
    </w:p>
    <w:p>
      <w:r>
        <w:br w:type="page"/>
      </w:r>
    </w:p>
    <w:p>
      <w:pPr>
        <w:pStyle w:val="Heading1"/>
      </w:pPr>
      <w:r>
        <w:t>二、供应商伙伴地图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28"/>
        <w:gridCol w:w="2880"/>
        <w:gridCol w:w="2880"/>
        <w:gridCol w:w="1872"/>
      </w:tblGrid>
      <w:tr>
        <w:trPr>
          <w:tblHeader w:val="true"/>
        </w:trPr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类别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需求能力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典型交付</w:t>
            </w:r>
          </w:p>
        </w:tc>
        <w:tc>
          <w:tcPr>
            <w:tcW w:type="dxa" w:w="187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关键风险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访谈与编辑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口述史、采访、写作、事实核对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转写、传记、时间轴、家风档案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诱导表达、事实错误、风格失真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影像与修复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拍摄、剪辑、调色、老照片修复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人生短片、纪录片、修复图像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肖像授权、过度修复、素材遗失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AI与数据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ASR、RAG、权限、日志、安全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记忆检索、回答出处、家庭数字馆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幻觉、泄露、模型训练越权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云与存储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加密、备份、归档、导出、迁移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长期托管与灾备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锁定、停服、跨境与连续性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太阳能硬件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光伏、储能、电子墨水、NFC、监控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低功耗纪念入口与运维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寿命夸大、维护困难、户外安全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园林与纪念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园林设计、自然教育、纪念场景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数字生命树、纪念林与访客动线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土地/安葬合规、生态干扰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出版与印制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装帧、打样、短版印刷、保存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精装传记、纪念册、礼盒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色差、交期、隐私泄露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三、渠道伙伴地图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2232"/>
        <w:gridCol w:w="3096"/>
        <w:gridCol w:w="2232"/>
      </w:tblGrid>
      <w:tr>
        <w:trPr>
          <w:tblHeader w:val="true"/>
        </w:trPr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渠道</w:t>
            </w:r>
          </w:p>
        </w:tc>
        <w:tc>
          <w:tcPr>
            <w:tcW w:type="dxa" w:w="223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客户/受益人</w:t>
            </w:r>
          </w:p>
        </w:tc>
        <w:tc>
          <w:tcPr>
            <w:tcW w:type="dxa" w:w="309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合作场景</w:t>
            </w:r>
          </w:p>
        </w:tc>
        <w:tc>
          <w:tcPr>
            <w:tcW w:type="dxa" w:w="223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项目组支持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养老院/康养社区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机构长者与家属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院区年度生命故事计划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驻点方案、培训、作品交付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街道/社区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社区长者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公益口述史与代际志愿服务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活动工具、志愿者培训、匿名报告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私人银行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高净值客户家庭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养老关怀与家族价值传承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顾问协同、私人传记、数字馆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保险机构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养老/寿险客户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保单之外的长期客户关怀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服务包、联合运营、客户成功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家办/信托/律所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家族与企业家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遗愿说明、家风档案、专业转介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内容服务与边界治理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慈善基金/CSR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经济条件有限的长者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资助名额、城市记忆与青年行动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项目管理、影响评估与传播素材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高校/中学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学生团队与社区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社会创新、口述史、AI伦理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课程框架、导师与真实问题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纪念园/园林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纪念服务家庭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数字生命树与纪念林</w:t>
            </w:r>
          </w:p>
        </w:tc>
        <w:tc>
          <w:tcPr>
            <w:tcW w:type="dxa" w:w="22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内容平台、低功耗入口与家庭体验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四、伙伴准入标准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3168"/>
        <w:gridCol w:w="2592"/>
        <w:gridCol w:w="1800"/>
      </w:tblGrid>
      <w:tr>
        <w:trPr>
          <w:tblHeader w:val="true"/>
        </w:trPr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维度</w:t>
            </w:r>
          </w:p>
        </w:tc>
        <w:tc>
          <w:tcPr>
            <w:tcW w:type="dxa" w:w="316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基础要求</w:t>
            </w:r>
          </w:p>
        </w:tc>
        <w:tc>
          <w:tcPr>
            <w:tcW w:type="dxa" w:w="259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加分项</w:t>
            </w:r>
          </w:p>
        </w:tc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否决项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资质与合法性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主体真实、许可/备案适用、无重大失信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行业认证与稳定项目经验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资质造假或重大违法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专业质量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有样例、流程、人员与复核机制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可量化质量指标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拒绝质量复核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隐私与数据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最小化、保密、删除、分包披露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安全认证与审计能力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擅自训练模型或二次使用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长者友好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尊重节奏、无诱导、可退出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养老/心理/口述史经验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强迫参与或情感操纵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持续交付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明确产能、备份、售后与停服方案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跨区域服务与灾备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无法提供迁移/交接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生态责任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材料、能耗、回收和户外安全说明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生命周期评估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“永动”等不科学宣传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商业透明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清晰报价、税务、分包与利益冲突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阶梯价格和联合降本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隐性收费或返点不透明</w:t>
            </w:r>
          </w:p>
        </w:tc>
      </w:tr>
    </w:tbl>
    <w:p>
      <w:pPr>
        <w:spacing w:after="40"/>
      </w:pPr>
    </w:p>
    <w:p>
      <w:pPr>
        <w:pStyle w:val="Heading2"/>
      </w:pPr>
      <w:r>
        <w:t>准入流程</w:t>
      </w:r>
    </w:p>
    <w:p>
      <w:pPr>
        <w:pStyle w:val="ListNumber"/>
      </w:pPr>
      <w:r>
        <w:rPr>
          <w:rFonts w:ascii="Calibri" w:hAnsi="Calibri" w:eastAsia="Microsoft YaHei"/>
        </w:rPr>
        <w:t>提交伙伴资料与样例。</w:t>
      </w:r>
    </w:p>
    <w:p>
      <w:pPr>
        <w:pStyle w:val="ListNumber"/>
      </w:pPr>
      <w:r>
        <w:rPr>
          <w:rFonts w:ascii="Calibri" w:hAnsi="Calibri" w:eastAsia="Microsoft YaHei"/>
        </w:rPr>
        <w:t>完成资质、隐私、合规与利益冲突审查。</w:t>
      </w:r>
    </w:p>
    <w:p>
      <w:pPr>
        <w:pStyle w:val="ListNumber"/>
      </w:pPr>
      <w:r>
        <w:rPr>
          <w:rFonts w:ascii="Calibri" w:hAnsi="Calibri" w:eastAsia="Microsoft YaHei"/>
        </w:rPr>
        <w:t>进行样例测试或小单交付。</w:t>
      </w:r>
    </w:p>
    <w:p>
      <w:pPr>
        <w:pStyle w:val="ListNumber"/>
      </w:pPr>
      <w:r>
        <w:rPr>
          <w:rFonts w:ascii="Calibri" w:hAnsi="Calibri" w:eastAsia="Microsoft YaHei"/>
        </w:rPr>
        <w:t>通过质量评审与商务谈判。</w:t>
      </w:r>
    </w:p>
    <w:p>
      <w:pPr>
        <w:pStyle w:val="ListNumber"/>
      </w:pPr>
      <w:r>
        <w:rPr>
          <w:rFonts w:ascii="Calibri" w:hAnsi="Calibri" w:eastAsia="Microsoft YaHei"/>
        </w:rPr>
        <w:t>签署框架、SLA、保密与数据处理条款。</w:t>
      </w:r>
    </w:p>
    <w:p>
      <w:pPr>
        <w:pStyle w:val="ListNumber"/>
      </w:pPr>
      <w:r>
        <w:rPr>
          <w:rFonts w:ascii="Calibri" w:hAnsi="Calibri" w:eastAsia="Microsoft YaHei"/>
        </w:rPr>
        <w:t>进入合格伙伴库并按季度复评。</w:t>
      </w:r>
    </w:p>
    <w:p>
      <w:r>
        <w:br w:type="page"/>
      </w:r>
    </w:p>
    <w:p>
      <w:pPr>
        <w:pStyle w:val="Heading1"/>
      </w:pPr>
      <w:r>
        <w:t>五、合作模式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2592"/>
        <w:gridCol w:w="2592"/>
        <w:gridCol w:w="2376"/>
      </w:tblGrid>
      <w:tr>
        <w:trPr>
          <w:tblHeader w:val="true"/>
        </w:trPr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模式</w:t>
            </w:r>
          </w:p>
        </w:tc>
        <w:tc>
          <w:tcPr>
            <w:tcW w:type="dxa" w:w="259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适用对象</w:t>
            </w:r>
          </w:p>
        </w:tc>
        <w:tc>
          <w:tcPr>
            <w:tcW w:type="dxa" w:w="259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收入/结算</w:t>
            </w:r>
          </w:p>
        </w:tc>
        <w:tc>
          <w:tcPr>
            <w:tcW w:type="dxa" w:w="237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边界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项目采购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内容、影像、出版、技术供应商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按里程碑验收付款</w:t>
            </w:r>
          </w:p>
        </w:tc>
        <w:tc>
          <w:tcPr>
            <w:tcW w:type="dxa" w:w="23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不得绕开项目方接触客户资料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联合方案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养老、私行、保险、慈善基金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服务包采购或联合预算</w:t>
            </w:r>
          </w:p>
        </w:tc>
        <w:tc>
          <w:tcPr>
            <w:tcW w:type="dxa" w:w="23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双方品牌与客户责任写入协议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客户转介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律所、家办、信托、顾问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合规转介或各自签约</w:t>
            </w:r>
          </w:p>
        </w:tc>
        <w:tc>
          <w:tcPr>
            <w:tcW w:type="dxa" w:w="23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不得因转介影响专业独立性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区域伙伴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城市运营机构、养老集团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区域项目费/授权/分成</w:t>
            </w:r>
          </w:p>
        </w:tc>
        <w:tc>
          <w:tcPr>
            <w:tcW w:type="dxa" w:w="23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需通过培训与质量审计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样机共创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太阳能、电子墨水、园林伙伴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研发分摊或样机采购</w:t>
            </w:r>
          </w:p>
        </w:tc>
        <w:tc>
          <w:tcPr>
            <w:tcW w:type="dxa" w:w="23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不承诺未经验证的寿命和场地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公益资助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基金会、企业CSR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定向资助与审计披露</w:t>
            </w:r>
          </w:p>
        </w:tc>
        <w:tc>
          <w:tcPr>
            <w:tcW w:type="dxa" w:w="23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受益人选择与传播另行授权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F4EEDC"/>
      </w:pPr>
      <w:r>
        <w:rPr>
          <w:rFonts w:ascii="Calibri" w:hAnsi="Calibri" w:eastAsia="Microsoft YaHei"/>
          <w:b/>
          <w:color w:val="7543A3"/>
        </w:rPr>
        <w:t xml:space="preserve">利益冲突  </w:t>
      </w:r>
      <w:r>
        <w:rPr>
          <w:rFonts w:ascii="Calibri" w:hAnsi="Calibri" w:eastAsia="Microsoft YaHei"/>
          <w:color w:val="17111F"/>
        </w:rPr>
        <w:t>任何佣金、转介费、联合品牌或独家安排都应透明披露，不得影响老人或家庭获得客观专业意见。</w:t>
      </w:r>
    </w:p>
    <w:p>
      <w:r>
        <w:br w:type="page"/>
      </w:r>
    </w:p>
    <w:p>
      <w:pPr>
        <w:pStyle w:val="Heading1"/>
      </w:pPr>
      <w:r>
        <w:t>六、内容与数据合作规范</w:t>
      </w:r>
    </w:p>
    <w:p>
      <w:pPr>
        <w:pStyle w:val="Heading2"/>
      </w:pPr>
      <w:r>
        <w:t>资料分级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440"/>
        <w:gridCol w:w="3600"/>
        <w:gridCol w:w="2160"/>
        <w:gridCol w:w="2160"/>
      </w:tblGrid>
      <w:tr>
        <w:trPr>
          <w:tblHeader w:val="true"/>
        </w:trPr>
        <w:tc>
          <w:tcPr>
            <w:tcW w:type="dxa" w:w="144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级别</w:t>
            </w:r>
          </w:p>
        </w:tc>
        <w:tc>
          <w:tcPr>
            <w:tcW w:type="dxa" w:w="36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示例</w:t>
            </w:r>
          </w:p>
        </w:tc>
        <w:tc>
          <w:tcPr>
            <w:tcW w:type="dxa" w:w="216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默认权限</w:t>
            </w:r>
          </w:p>
        </w:tc>
        <w:tc>
          <w:tcPr>
            <w:tcW w:type="dxa" w:w="216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处理要求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公开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经授权的项目介绍或公开故事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公众可见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单独公开授权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照片、访谈、家族故事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指定家庭成员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身份校验、访问日志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敏感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健康、冲突、财富、遗愿相关资料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最小指定人员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加密、限制导出、专业审阅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封存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本人要求身后或特定日期开放的内容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暂不可见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条件触发与双人复核</w:t>
            </w:r>
          </w:p>
        </w:tc>
      </w:tr>
    </w:tbl>
    <w:p>
      <w:pPr>
        <w:spacing w:after="40"/>
      </w:pPr>
    </w:p>
    <w:p>
      <w:pPr>
        <w:pStyle w:val="Heading2"/>
      </w:pPr>
      <w:r>
        <w:t>供应商必须遵守</w:t>
      </w:r>
    </w:p>
    <w:p>
      <w:pPr>
        <w:pStyle w:val="ListBullet"/>
      </w:pPr>
      <w:r>
        <w:rPr>
          <w:rFonts w:ascii="Calibri" w:hAnsi="Calibri" w:eastAsia="Microsoft YaHei"/>
        </w:rPr>
        <w:t>仅在书面指令和最小必要范围内处理资料。</w:t>
      </w:r>
    </w:p>
    <w:p>
      <w:pPr>
        <w:pStyle w:val="ListBullet"/>
      </w:pPr>
      <w:r>
        <w:rPr>
          <w:rFonts w:ascii="Calibri" w:hAnsi="Calibri" w:eastAsia="Microsoft YaHei"/>
        </w:rPr>
        <w:t>未经授权不得用于模型训练、作品展示、营销或员工个人存储。</w:t>
      </w:r>
    </w:p>
    <w:p>
      <w:pPr>
        <w:pStyle w:val="ListBullet"/>
      </w:pPr>
      <w:r>
        <w:rPr>
          <w:rFonts w:ascii="Calibri" w:hAnsi="Calibri" w:eastAsia="Microsoft YaHei"/>
        </w:rPr>
        <w:t>不得将真实资料输入未批准的公共生成式AI工具。</w:t>
      </w:r>
    </w:p>
    <w:p>
      <w:pPr>
        <w:pStyle w:val="ListBullet"/>
      </w:pPr>
      <w:r>
        <w:rPr>
          <w:rFonts w:ascii="Calibri" w:hAnsi="Calibri" w:eastAsia="Microsoft YaHei"/>
        </w:rPr>
        <w:t>分包前书面披露，分包商承担同等义务。</w:t>
      </w:r>
    </w:p>
    <w:p>
      <w:pPr>
        <w:pStyle w:val="ListBullet"/>
      </w:pPr>
      <w:r>
        <w:rPr>
          <w:rFonts w:ascii="Calibri" w:hAnsi="Calibri" w:eastAsia="Microsoft YaHei"/>
        </w:rPr>
        <w:t>项目结束后按约定返还、迁移或删除，并提供证明。</w:t>
      </w:r>
    </w:p>
    <w:p>
      <w:r>
        <w:br w:type="page"/>
      </w:r>
    </w:p>
    <w:p>
      <w:pPr>
        <w:pStyle w:val="Heading1"/>
      </w:pPr>
      <w:r>
        <w:t>七、质量验收与SLA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28"/>
        <w:gridCol w:w="3384"/>
        <w:gridCol w:w="2304"/>
        <w:gridCol w:w="1944"/>
      </w:tblGrid>
      <w:tr>
        <w:trPr>
          <w:tblHeader w:val="true"/>
        </w:trPr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交付类型</w:t>
            </w:r>
          </w:p>
        </w:tc>
        <w:tc>
          <w:tcPr>
            <w:tcW w:type="dxa" w:w="338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建议验收指标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响应/SLA</w:t>
            </w:r>
          </w:p>
        </w:tc>
        <w:tc>
          <w:tcPr>
            <w:tcW w:type="dxa" w:w="194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返工规则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访谈转写</w:t>
            </w:r>
          </w:p>
        </w:tc>
        <w:tc>
          <w:tcPr>
            <w:tcW w:type="dxa" w:w="33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关键人物/地名核对；时间戳可追溯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访谈后3个工作日初稿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事实或漏段问题免费修正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传记编辑</w:t>
            </w:r>
          </w:p>
        </w:tc>
        <w:tc>
          <w:tcPr>
            <w:tcW w:type="dxa" w:w="33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保持老人语气；关键事实有标记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资料齐备后10—20个工作日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2轮合并反馈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影像短片</w:t>
            </w:r>
          </w:p>
        </w:tc>
        <w:tc>
          <w:tcPr>
            <w:tcW w:type="dxa" w:w="33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音画同步、字幕准确、授权素材完整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拍摄后15—25个工作日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脚本/粗剪/成片分阶段确认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照片修复</w:t>
            </w:r>
          </w:p>
        </w:tc>
        <w:tc>
          <w:tcPr>
            <w:tcW w:type="dxa" w:w="33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不改变人物身份特征；保留原图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5—10个工作日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过度修复应回退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AI/平台</w:t>
            </w:r>
          </w:p>
        </w:tc>
        <w:tc>
          <w:tcPr>
            <w:tcW w:type="dxa" w:w="33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权限、出处、拒答、导出和日志可测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P1 2小时响应；P2 1工作日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严重缺陷先停用再修复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户外硬件</w:t>
            </w:r>
          </w:p>
        </w:tc>
        <w:tc>
          <w:tcPr>
            <w:tcW w:type="dxa" w:w="33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能耗、防护、温度、远程监测和维护可验证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故障4小时响应/按合同到场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不达标更换或退款</w:t>
            </w:r>
          </w:p>
        </w:tc>
      </w:tr>
    </w:tbl>
    <w:p>
      <w:pPr>
        <w:spacing w:after="40"/>
      </w:pPr>
    </w:p>
    <w:p>
      <w:pPr>
        <w:pStyle w:val="SmallNote"/>
      </w:pPr>
      <w:r>
        <w:rPr>
          <w:rFonts w:ascii="Calibri" w:hAnsi="Calibri" w:eastAsia="Microsoft YaHei"/>
        </w:rPr>
        <w:t>具体时限以正式采购或合作合同为准；涉及老人安全、隐私泄露、身份误导或安葬合规的事件视为最高优先级。</w:t>
      </w:r>
    </w:p>
    <w:p>
      <w:r>
        <w:br w:type="page"/>
      </w:r>
    </w:p>
    <w:p>
      <w:pPr>
        <w:pStyle w:val="Heading1"/>
      </w:pPr>
      <w:r>
        <w:t>八、报价、结算与渠道保护</w:t>
      </w:r>
    </w:p>
    <w:p>
      <w:pPr>
        <w:pStyle w:val="Heading2"/>
      </w:pPr>
      <w:r>
        <w:t>报价要求</w:t>
      </w:r>
    </w:p>
    <w:p>
      <w:pPr>
        <w:pStyle w:val="ListBullet"/>
      </w:pPr>
      <w:r>
        <w:rPr>
          <w:rFonts w:ascii="Calibri" w:hAnsi="Calibri" w:eastAsia="Microsoft YaHei"/>
        </w:rPr>
        <w:t>拆分人员、材料、差旅、云资源、税费、售后与可选项。</w:t>
      </w:r>
    </w:p>
    <w:p>
      <w:pPr>
        <w:pStyle w:val="ListBullet"/>
      </w:pPr>
      <w:r>
        <w:rPr>
          <w:rFonts w:ascii="Calibri" w:hAnsi="Calibri" w:eastAsia="Microsoft YaHei"/>
        </w:rPr>
        <w:t>说明价格有效期、产能、最小采购量和涨价机制。</w:t>
      </w:r>
    </w:p>
    <w:p>
      <w:pPr>
        <w:pStyle w:val="ListBullet"/>
      </w:pPr>
      <w:r>
        <w:rPr>
          <w:rFonts w:ascii="Calibri" w:hAnsi="Calibri" w:eastAsia="Microsoft YaHei"/>
        </w:rPr>
        <w:t>任何分包、软件许可或长期订阅均应单独列示。</w:t>
      </w:r>
    </w:p>
    <w:p>
      <w:pPr>
        <w:pStyle w:val="Heading2"/>
      </w:pPr>
      <w:r>
        <w:t>结算建议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160"/>
        <w:gridCol w:w="1728"/>
        <w:gridCol w:w="5472"/>
      </w:tblGrid>
      <w:tr>
        <w:trPr>
          <w:tblHeader w:val="true"/>
        </w:trPr>
        <w:tc>
          <w:tcPr>
            <w:tcW w:type="dxa" w:w="216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阶段</w:t>
            </w:r>
          </w:p>
        </w:tc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建议比例</w:t>
            </w:r>
          </w:p>
        </w:tc>
        <w:tc>
          <w:tcPr>
            <w:tcW w:type="dxa" w:w="547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付款条件</w:t>
            </w:r>
          </w:p>
        </w:tc>
      </w:tr>
      <w:tr>
        <w:trPr/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启动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20%—30%</w:t>
            </w:r>
          </w:p>
        </w:tc>
        <w:tc>
          <w:tcPr>
            <w:tcW w:type="dxa" w:w="54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合同、授权模板、排期与项目组就绪</w:t>
            </w:r>
          </w:p>
        </w:tc>
      </w:tr>
      <w:tr>
        <w:trPr/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中期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30%—40%</w:t>
            </w:r>
          </w:p>
        </w:tc>
        <w:tc>
          <w:tcPr>
            <w:tcW w:type="dxa" w:w="54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完成约定访谈/样稿/粗剪/样机测试</w:t>
            </w:r>
          </w:p>
        </w:tc>
      </w:tr>
      <w:tr>
        <w:trPr/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验收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30%—40%</w:t>
            </w:r>
          </w:p>
        </w:tc>
        <w:tc>
          <w:tcPr>
            <w:tcW w:type="dxa" w:w="54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交付、整改、资料移交与发票</w:t>
            </w:r>
          </w:p>
        </w:tc>
      </w:tr>
      <w:tr>
        <w:trPr/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质保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0%—10%</w:t>
            </w:r>
          </w:p>
        </w:tc>
        <w:tc>
          <w:tcPr>
            <w:tcW w:type="dxa" w:w="54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按约定质保期或服务稳定期释放</w:t>
            </w:r>
          </w:p>
        </w:tc>
      </w:tr>
    </w:tbl>
    <w:p>
      <w:pPr>
        <w:spacing w:after="40"/>
      </w:pPr>
    </w:p>
    <w:p>
      <w:pPr>
        <w:pStyle w:val="Heading2"/>
      </w:pPr>
      <w:r>
        <w:t>渠道规则</w:t>
      </w:r>
    </w:p>
    <w:p>
      <w:pPr>
        <w:pStyle w:val="ListBullet"/>
      </w:pPr>
      <w:r>
        <w:rPr>
          <w:rFonts w:ascii="Calibri" w:hAnsi="Calibri" w:eastAsia="Microsoft YaHei"/>
        </w:rPr>
        <w:t>通过报备机制确认客户归属、有效期和冲突处理。</w:t>
      </w:r>
    </w:p>
    <w:p>
      <w:pPr>
        <w:pStyle w:val="ListBullet"/>
      </w:pPr>
      <w:r>
        <w:rPr>
          <w:rFonts w:ascii="Calibri" w:hAnsi="Calibri" w:eastAsia="Microsoft YaHei"/>
        </w:rPr>
        <w:t>不得使用老人或家属资料绕过合作方营销。</w:t>
      </w:r>
    </w:p>
    <w:p>
      <w:pPr>
        <w:pStyle w:val="ListBullet"/>
      </w:pPr>
      <w:r>
        <w:rPr>
          <w:rFonts w:ascii="Calibri" w:hAnsi="Calibri" w:eastAsia="Microsoft YaHei"/>
        </w:rPr>
        <w:t>独家合作仅在明确业绩、区域、期限和退出条件时考虑。</w:t>
      </w:r>
    </w:p>
    <w:p>
      <w:pPr>
        <w:pStyle w:val="ListBullet"/>
      </w:pPr>
      <w:r>
        <w:rPr>
          <w:rFonts w:ascii="Calibri" w:hAnsi="Calibri" w:eastAsia="Microsoft YaHei"/>
        </w:rPr>
        <w:t>渠道宣传必须使用经批准的项目描述与风险边界。</w:t>
      </w:r>
    </w:p>
    <w:p>
      <w:r>
        <w:br w:type="page"/>
      </w:r>
    </w:p>
    <w:p>
      <w:pPr>
        <w:pStyle w:val="Heading1"/>
      </w:pPr>
      <w:r>
        <w:t>九、联合市场与品牌规范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096"/>
        <w:gridCol w:w="3096"/>
        <w:gridCol w:w="3168"/>
      </w:tblGrid>
      <w:tr>
        <w:trPr>
          <w:tblHeader w:val="true"/>
        </w:trPr>
        <w:tc>
          <w:tcPr>
            <w:tcW w:type="dxa" w:w="309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可以</w:t>
            </w:r>
          </w:p>
        </w:tc>
        <w:tc>
          <w:tcPr>
            <w:tcW w:type="dxa" w:w="309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需要审批</w:t>
            </w:r>
          </w:p>
        </w:tc>
        <w:tc>
          <w:tcPr>
            <w:tcW w:type="dxa" w:w="316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禁止</w:t>
            </w:r>
          </w:p>
        </w:tc>
      </w:tr>
      <w:tr>
        <w:trPr/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使用已批准的项目介绍与匿名方法数据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联合Logo、客户案例、媒体稿、活动直播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暗示投资回报、医疗效果或“数字复活”</w:t>
            </w:r>
          </w:p>
        </w:tc>
      </w:tr>
      <w:tr>
        <w:trPr/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说明项目处于概念与试点筹备阶段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使用老人肖像、声音、家庭信息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未经授权公开真实资料</w:t>
            </w:r>
          </w:p>
        </w:tc>
      </w:tr>
      <w:tr>
        <w:trPr/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如实说明合作范围与交付责任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对外引用合作方职务与品牌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将意向合作表述为正式背书</w:t>
            </w:r>
          </w:p>
        </w:tc>
      </w:tr>
      <w:tr>
        <w:trPr/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解释AI出处、拒答和专业边界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任何数字人演示与纪念树现场展示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“永动”“永久不维护”等不科学宣传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EFE7F3"/>
      </w:pPr>
      <w:r>
        <w:rPr>
          <w:rFonts w:ascii="Calibri" w:hAnsi="Calibri" w:eastAsia="Microsoft YaHei"/>
          <w:b/>
          <w:color w:val="7543A3"/>
        </w:rPr>
        <w:t xml:space="preserve">传播底线  </w:t>
      </w:r>
      <w:r>
        <w:rPr>
          <w:rFonts w:ascii="Calibri" w:hAnsi="Calibri" w:eastAsia="Microsoft YaHei"/>
          <w:color w:val="17111F"/>
        </w:rPr>
        <w:t>宁可少讲一个故事，也不在授权不清、事实未核或当事人不愿意时公开。</w:t>
      </w:r>
    </w:p>
    <w:p>
      <w:r>
        <w:br w:type="page"/>
      </w:r>
    </w:p>
    <w:p>
      <w:pPr>
        <w:pStyle w:val="Heading1"/>
      </w:pPr>
      <w:r>
        <w:t>十、90天伙伴启动计划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656"/>
        <w:gridCol w:w="2880"/>
        <w:gridCol w:w="2880"/>
        <w:gridCol w:w="1944"/>
      </w:tblGrid>
      <w:tr>
        <w:trPr>
          <w:tblHeader w:val="true"/>
        </w:trPr>
        <w:tc>
          <w:tcPr>
            <w:tcW w:type="dxa" w:w="165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时间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项目组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伙伴</w:t>
            </w:r>
          </w:p>
        </w:tc>
        <w:tc>
          <w:tcPr>
            <w:tcW w:type="dxa" w:w="194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联合成果</w:t>
            </w:r>
          </w:p>
        </w:tc>
      </w:tr>
      <w:tr>
        <w:trPr/>
        <w:tc>
          <w:tcPr>
            <w:tcW w:type="dxa" w:w="165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第1—2周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发布伙伴需求与评估表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提交资质、样例、报价和负责人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候选短名单</w:t>
            </w:r>
          </w:p>
        </w:tc>
      </w:tr>
      <w:tr>
        <w:trPr/>
        <w:tc>
          <w:tcPr>
            <w:tcW w:type="dxa" w:w="165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第3—4周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组织访谈、合规与技术评审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完成问答与现场/远程演示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准入评分与风险清单</w:t>
            </w:r>
          </w:p>
        </w:tc>
      </w:tr>
      <w:tr>
        <w:trPr/>
        <w:tc>
          <w:tcPr>
            <w:tcW w:type="dxa" w:w="165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第5—8周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提供小样任务与真实流程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完成样例交付或渠道招募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质量、成本与协作复盘</w:t>
            </w:r>
          </w:p>
        </w:tc>
      </w:tr>
      <w:tr>
        <w:trPr/>
        <w:tc>
          <w:tcPr>
            <w:tcW w:type="dxa" w:w="165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第9—10周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谈判框架、SLA与数据条款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确认产能、价格和售后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合作框架草案</w:t>
            </w:r>
          </w:p>
        </w:tc>
      </w:tr>
      <w:tr>
        <w:trPr/>
        <w:tc>
          <w:tcPr>
            <w:tcW w:type="dxa" w:w="165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第11—12周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组织首批项目启动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进入交付并周度复盘</w:t>
            </w:r>
          </w:p>
        </w:tc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合格伙伴库与首轮订单</w:t>
            </w:r>
          </w:p>
        </w:tc>
      </w:tr>
    </w:tbl>
    <w:p>
      <w:pPr>
        <w:spacing w:after="40"/>
      </w:pPr>
    </w:p>
    <w:p>
      <w:pPr>
        <w:pStyle w:val="Heading2"/>
      </w:pPr>
      <w:r>
        <w:t>首轮拟招募</w:t>
      </w:r>
    </w:p>
    <w:p>
      <w:pPr>
        <w:pStyle w:val="ListBullet"/>
      </w:pPr>
      <w:r>
        <w:rPr>
          <w:rFonts w:ascii="Calibri" w:hAnsi="Calibri" w:eastAsia="Microsoft YaHei"/>
        </w:rPr>
        <w:t>口述史/传记编辑伙伴2—3家。</w:t>
      </w:r>
    </w:p>
    <w:p>
      <w:pPr>
        <w:pStyle w:val="ListBullet"/>
      </w:pPr>
      <w:r>
        <w:rPr>
          <w:rFonts w:ascii="Calibri" w:hAnsi="Calibri" w:eastAsia="Microsoft YaHei"/>
        </w:rPr>
        <w:t>影像与老照片修复伙伴2—3家。</w:t>
      </w:r>
    </w:p>
    <w:p>
      <w:pPr>
        <w:pStyle w:val="ListBullet"/>
      </w:pPr>
      <w:r>
        <w:rPr>
          <w:rFonts w:ascii="Calibri" w:hAnsi="Calibri" w:eastAsia="Microsoft YaHei"/>
        </w:rPr>
        <w:t>AI/云/数据安全伙伴2家。</w:t>
      </w:r>
    </w:p>
    <w:p>
      <w:pPr>
        <w:pStyle w:val="ListBullet"/>
      </w:pPr>
      <w:r>
        <w:rPr>
          <w:rFonts w:ascii="Calibri" w:hAnsi="Calibri" w:eastAsia="Microsoft YaHei"/>
        </w:rPr>
        <w:t>养老或康养试点伙伴1—2家。</w:t>
      </w:r>
    </w:p>
    <w:p>
      <w:pPr>
        <w:pStyle w:val="ListBullet"/>
      </w:pPr>
      <w:r>
        <w:rPr>
          <w:rFonts w:ascii="Calibri" w:hAnsi="Calibri" w:eastAsia="Microsoft YaHei"/>
        </w:rPr>
        <w:t>私人银行/保险/家办渠道伙伴1—2家。</w:t>
      </w:r>
    </w:p>
    <w:p>
      <w:pPr>
        <w:pStyle w:val="ListBullet"/>
      </w:pPr>
      <w:r>
        <w:rPr>
          <w:rFonts w:ascii="Calibri" w:hAnsi="Calibri" w:eastAsia="Microsoft YaHei"/>
        </w:rPr>
        <w:t>低功耗硬件、园林或生态纪念概念伙伴各1—2家。</w:t>
      </w:r>
    </w:p>
    <w:p>
      <w:r>
        <w:br w:type="page"/>
      </w:r>
    </w:p>
    <w:p>
      <w:pPr>
        <w:pStyle w:val="Heading1"/>
      </w:pPr>
      <w:r>
        <w:t>十一、伙伴申请表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880"/>
        <w:gridCol w:w="6480"/>
      </w:tblGrid>
      <w:tr>
        <w:trPr>
          <w:tblHeader w:val="true"/>
        </w:trPr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项目</w:t>
            </w:r>
          </w:p>
        </w:tc>
        <w:tc>
          <w:tcPr>
            <w:tcW w:type="dxa" w:w="64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填写内容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机构全称/统一社会信用代码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合作类别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□ 内容  □ 影像  □ AI/云  □ 硬件  □ 养老  □ 金融渠道  □ 园林纪念  □ 专业顾问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核心能力与代表项目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  <w:br/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资质/认证/许可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服务区域与产能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数据是否分包/跨境/用于训练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报价范围与有效期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项目负责人及联系方式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  <w:tr>
        <w:trPr/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利益冲突或需披露事项</w:t>
            </w:r>
          </w:p>
        </w:tc>
        <w:tc>
          <w:tcPr>
            <w:tcW w:type="dxa" w:w="64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____________________________________________</w:t>
            </w:r>
          </w:p>
        </w:tc>
      </w:tr>
    </w:tbl>
    <w:p>
      <w:pPr>
        <w:spacing w:after="40"/>
      </w:pPr>
    </w:p>
    <w:p>
      <w:pPr>
        <w:pStyle w:val="Heading2"/>
      </w:pPr>
      <w:r>
        <w:t>承诺</w:t>
      </w:r>
    </w:p>
    <w:p>
      <w:r>
        <w:rPr>
          <w:rFonts w:ascii="Calibri" w:hAnsi="Calibri" w:eastAsia="Microsoft YaHei"/>
        </w:rPr>
        <w:t>本机构确认以上信息真实，愿意遵守长者尊严、知情同意、数据最小化、可撤回、可迁移与不夸大宣传的合作原则。</w:t>
      </w:r>
    </w:p>
    <w:p>
      <w:r>
        <w:rPr>
          <w:rFonts w:ascii="Calibri" w:hAnsi="Calibri" w:eastAsia="Microsoft YaHei"/>
        </w:rPr>
        <w:t>授权代表签字：____________________      日期：____________________</w:t>
      </w:r>
    </w:p>
    <w:p>
      <w:r>
        <w:br w:type="page"/>
      </w:r>
    </w:p>
    <w:p>
      <w:pPr>
        <w:pStyle w:val="Heading1"/>
      </w:pPr>
      <w:r>
        <w:t>参考资料</w:t>
      </w:r>
    </w:p>
    <w:p>
      <w:pPr>
        <w:pStyle w:val="SmallNote"/>
      </w:pPr>
      <w:r>
        <w:rPr>
          <w:rFonts w:ascii="Calibri" w:hAnsi="Calibri" w:eastAsia="Microsoft YaHei"/>
        </w:rPr>
        <w:t>以下资料用于项目方法与全球参照，不表示本项目与相关机构存在合作关系。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StoryCorps. About StoryCorps. https://storycorps.org/about/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StoryFile Life. Interactive life stories. https://life.storyfile.com/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Better Place Forests. Memorial forests. https://www.betterplaceforests.com/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FreeWill. Digital estate planning resources. https://www.freewill.com/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J.P. Morgan Private Bank. Estate Planning. https://privatebank.jpmorgan.com/nam/en/services/wealth-planning-and-advice/estate-planning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Northern Trust. High Net Worth Families. https://www.northerntrust.com/united-states/what-we-do/wealth-management/products-services/high-net-worth-families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PubMed PMID 37887480. 2023 systematic review and meta-analysis on reminiscence interventions for older adults. https://pubmed.ncbi.nlm.nih.gov/37887480/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65D68"/>
        <w:sz w:val="16"/>
      </w:rPr>
      <w:t xml:space="preserve">第 </w:t>
    </w:r>
    <w:fldSimple w:instr="PAGE"/>
    <w:r>
      <w:rPr>
        <w:rFonts w:ascii="Calibri" w:hAnsi="Calibri" w:eastAsia="Microsoft YaHei"/>
        <w:color w:val="665D68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color w:val="7543A3"/>
        <w:sz w:val="16"/>
      </w:rPr>
      <w:t>传记传世  |  DIGITAL LIFE &amp; LEGACY INITIATIVE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1711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7543A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7543A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45A4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tabs>
        <w:tab w:pos="540" w:val="left"/>
      </w:tabs>
      <w:spacing w:after="80" w:line="300" w:lineRule="auto"/>
      <w:ind w:left="540" w:hanging="271"/>
      <w:contextualSpacing/>
    </w:pPr>
    <w:rPr>
      <w:rFonts w:ascii="Calibri" w:hAnsi="Calibri" w:eastAsia="Microsoft YaHei"/>
      <w:color w:val="17111F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540" w:val="left"/>
      </w:tabs>
      <w:spacing w:after="80" w:line="300" w:lineRule="auto"/>
      <w:ind w:left="540" w:hanging="271"/>
      <w:contextualSpacing/>
    </w:pPr>
    <w:rPr>
      <w:rFonts w:ascii="Calibri" w:hAnsi="Calibri" w:eastAsia="Microsoft YaHei"/>
      <w:color w:val="17111F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basedOn w:val="Normal"/>
    <w:pPr>
      <w:spacing w:after="240" w:line="324" w:lineRule="auto"/>
    </w:pPr>
    <w:rPr>
      <w:rFonts w:ascii="Calibri" w:hAnsi="Calibri" w:eastAsia="Microsoft YaHei"/>
      <w:color w:val="31113F"/>
      <w:sz w:val="27"/>
    </w:rPr>
  </w:style>
  <w:style w:type="paragraph" w:customStyle="1" w:styleId="SmallNote">
    <w:name w:val="Small Note"/>
    <w:basedOn w:val="Normal"/>
    <w:pPr>
      <w:spacing w:before="80" w:after="80" w:line="276" w:lineRule="auto"/>
    </w:pPr>
    <w:rPr>
      <w:rFonts w:ascii="Calibri" w:hAnsi="Calibri" w:eastAsia="Microsoft YaHei"/>
      <w:color w:val="665D6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传记传世
供应商与渠道合作方案</dc:title>
  <dc:subject>服务、技术、内容、养老、金融与生态纪念伙伴协作手册</dc:subject>
  <dc:creator>传记传世项目组</dc:creator>
  <cp:keywords>生命叙事, 长者关怀, 记忆智能体, 数字生命树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